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overflowPunct w:val="0"/>
        <w:adjustRightInd w:val="0"/>
        <w:snapToGrid w:val="0"/>
        <w:spacing w:line="580" w:lineRule="exact"/>
        <w:jc w:val="center"/>
        <w:rPr>
          <w:rFonts w:ascii="宋体" w:hAnsi="宋体"/>
          <w:b/>
          <w:bCs/>
          <w:sz w:val="44"/>
          <w:szCs w:val="44"/>
        </w:rPr>
      </w:pPr>
      <w:r>
        <w:rPr>
          <w:rFonts w:hint="eastAsia" w:ascii="宋体" w:hAnsi="宋体"/>
          <w:b/>
          <w:bCs/>
          <w:sz w:val="44"/>
          <w:szCs w:val="44"/>
        </w:rPr>
        <w:t>四川省产业园区“园保贷”项目</w:t>
      </w:r>
    </w:p>
    <w:p>
      <w:pPr>
        <w:overflowPunct w:val="0"/>
        <w:adjustRightInd w:val="0"/>
        <w:snapToGrid w:val="0"/>
        <w:spacing w:line="580" w:lineRule="exact"/>
        <w:jc w:val="center"/>
        <w:rPr>
          <w:rFonts w:ascii="宋体" w:hAnsi="宋体"/>
          <w:b/>
          <w:bCs/>
          <w:sz w:val="44"/>
          <w:szCs w:val="44"/>
        </w:rPr>
      </w:pPr>
      <w:r>
        <w:rPr>
          <w:rFonts w:hint="eastAsia" w:ascii="宋体" w:hAnsi="宋体"/>
          <w:b/>
          <w:bCs/>
          <w:sz w:val="44"/>
          <w:szCs w:val="44"/>
        </w:rPr>
        <w:t>合作银行扩围比选文件</w:t>
      </w: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autoSpaceDE w:val="0"/>
        <w:autoSpaceDN w:val="0"/>
        <w:adjustRightInd w:val="0"/>
        <w:ind w:left="200"/>
        <w:jc w:val="center"/>
        <w:rPr>
          <w:rFonts w:ascii="宋体" w:cs="宋体" w:hAnsiTheme="minorHAnsi"/>
          <w:b/>
          <w:kern w:val="0"/>
          <w:sz w:val="28"/>
          <w:szCs w:val="28"/>
          <w:lang w:val="zh-CN"/>
        </w:rPr>
      </w:pPr>
      <w:r>
        <w:rPr>
          <w:rFonts w:hint="eastAsia" w:ascii="宋体" w:hAnsi="宋体"/>
          <w:b/>
          <w:bCs/>
          <w:sz w:val="28"/>
          <w:szCs w:val="28"/>
        </w:rPr>
        <w:t>比选人：</w:t>
      </w:r>
      <w:r>
        <w:rPr>
          <w:rFonts w:hint="eastAsia" w:ascii="宋体" w:cs="宋体" w:hAnsiTheme="minorHAnsi"/>
          <w:b/>
          <w:kern w:val="0"/>
          <w:sz w:val="28"/>
          <w:szCs w:val="28"/>
        </w:rPr>
        <w:t>四川工创企业管理服务</w:t>
      </w:r>
      <w:r>
        <w:rPr>
          <w:rFonts w:hint="eastAsia" w:ascii="宋体" w:cs="宋体" w:hAnsiTheme="minorHAnsi"/>
          <w:b/>
          <w:kern w:val="0"/>
          <w:sz w:val="28"/>
          <w:szCs w:val="28"/>
          <w:lang w:val="zh-CN"/>
        </w:rPr>
        <w:t>有限公司</w:t>
      </w:r>
    </w:p>
    <w:p>
      <w:pPr>
        <w:spacing w:line="360" w:lineRule="auto"/>
        <w:jc w:val="center"/>
        <w:rPr>
          <w:rFonts w:ascii="宋体" w:hAnsi="宋体"/>
          <w:b/>
          <w:bCs/>
          <w:sz w:val="28"/>
          <w:szCs w:val="28"/>
        </w:rPr>
      </w:pPr>
    </w:p>
    <w:p>
      <w:pPr>
        <w:spacing w:line="360" w:lineRule="auto"/>
        <w:rPr>
          <w:rFonts w:ascii="宋体" w:hAnsi="宋体"/>
          <w:bCs/>
          <w:sz w:val="28"/>
          <w:szCs w:val="28"/>
        </w:rPr>
      </w:pPr>
    </w:p>
    <w:p>
      <w:pPr>
        <w:spacing w:line="360" w:lineRule="auto"/>
        <w:jc w:val="center"/>
        <w:rPr>
          <w:rFonts w:ascii="宋体" w:hAnsi="宋体"/>
          <w:b/>
          <w:bCs/>
          <w:sz w:val="28"/>
          <w:szCs w:val="28"/>
        </w:rPr>
      </w:pPr>
      <w:r>
        <w:rPr>
          <w:rFonts w:hint="eastAsia" w:ascii="宋体" w:hAnsi="宋体"/>
          <w:b/>
          <w:bCs/>
          <w:sz w:val="28"/>
          <w:szCs w:val="28"/>
        </w:rPr>
        <w:t>二零二零年</w:t>
      </w:r>
      <w:r>
        <w:rPr>
          <w:rFonts w:hint="eastAsia" w:ascii="宋体" w:hAnsi="宋体"/>
          <w:b/>
          <w:bCs/>
          <w:sz w:val="28"/>
          <w:szCs w:val="28"/>
          <w:lang w:val="en-US" w:eastAsia="zh-CN"/>
        </w:rPr>
        <w:t>八</w:t>
      </w:r>
      <w:r>
        <w:rPr>
          <w:rFonts w:hint="eastAsia" w:ascii="宋体" w:hAnsi="宋体"/>
          <w:b/>
          <w:bCs/>
          <w:sz w:val="28"/>
          <w:szCs w:val="28"/>
        </w:rPr>
        <w:t>月</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tabs>
          <w:tab w:val="left" w:pos="2880"/>
          <w:tab w:val="center" w:pos="4153"/>
        </w:tabs>
        <w:spacing w:line="360" w:lineRule="auto"/>
        <w:jc w:val="left"/>
        <w:rPr>
          <w:rFonts w:ascii="宋体" w:hAnsi="宋体"/>
          <w:b/>
          <w:bCs/>
          <w:spacing w:val="20"/>
          <w:sz w:val="24"/>
        </w:rPr>
      </w:pPr>
      <w:r>
        <w:rPr>
          <w:rFonts w:hint="eastAsia" w:ascii="宋体" w:hAnsi="宋体"/>
          <w:b/>
          <w:sz w:val="24"/>
        </w:rPr>
        <w:t>第一部分 比选邀请</w:t>
      </w:r>
    </w:p>
    <w:p>
      <w:pPr>
        <w:spacing w:line="360" w:lineRule="auto"/>
        <w:ind w:firstLine="480" w:firstLineChars="200"/>
        <w:rPr>
          <w:rFonts w:ascii="宋体" w:hAnsi="宋体"/>
          <w:b/>
          <w:bCs/>
          <w:sz w:val="24"/>
        </w:rPr>
      </w:pPr>
      <w:r>
        <w:rPr>
          <w:rFonts w:ascii="宋体" w:hAnsi="宋体"/>
          <w:sz w:val="24"/>
        </w:rPr>
        <w:t>四川工创</w:t>
      </w:r>
      <w:r>
        <w:rPr>
          <w:rFonts w:hint="eastAsia" w:ascii="宋体" w:hAnsi="宋体"/>
          <w:sz w:val="24"/>
        </w:rPr>
        <w:t>企业管理服务</w:t>
      </w:r>
      <w:r>
        <w:rPr>
          <w:rFonts w:ascii="宋体" w:hAnsi="宋体"/>
          <w:sz w:val="24"/>
        </w:rPr>
        <w:t>有限公司</w:t>
      </w:r>
      <w:r>
        <w:rPr>
          <w:rFonts w:hint="eastAsia" w:ascii="宋体" w:hAnsi="宋体"/>
          <w:sz w:val="24"/>
        </w:rPr>
        <w:t>拟实施的“园保贷</w:t>
      </w:r>
      <w:r>
        <w:rPr>
          <w:rFonts w:ascii="宋体" w:hAnsi="宋体"/>
          <w:sz w:val="24"/>
        </w:rPr>
        <w:t>”项目</w:t>
      </w:r>
      <w:r>
        <w:rPr>
          <w:rFonts w:hint="eastAsia" w:ascii="宋体" w:hAnsi="宋体"/>
          <w:sz w:val="24"/>
        </w:rPr>
        <w:t>合作银行扩围比选。</w:t>
      </w:r>
      <w:r>
        <w:rPr>
          <w:rFonts w:ascii="宋体" w:hAnsi="宋体"/>
          <w:sz w:val="24"/>
        </w:rPr>
        <w:t>四川工创</w:t>
      </w:r>
      <w:r>
        <w:rPr>
          <w:rFonts w:hint="eastAsia" w:ascii="宋体" w:hAnsi="宋体"/>
          <w:sz w:val="24"/>
        </w:rPr>
        <w:t>企业管理服务</w:t>
      </w:r>
      <w:r>
        <w:rPr>
          <w:rFonts w:ascii="宋体" w:hAnsi="宋体"/>
          <w:sz w:val="24"/>
        </w:rPr>
        <w:t>有限公司</w:t>
      </w:r>
      <w:r>
        <w:rPr>
          <w:rFonts w:hint="eastAsia" w:ascii="宋体" w:hAnsi="宋体"/>
          <w:sz w:val="24"/>
        </w:rPr>
        <w:t>（以下简称</w:t>
      </w:r>
      <w:r>
        <w:rPr>
          <w:rFonts w:hint="eastAsia" w:ascii="宋体" w:hAnsi="宋体"/>
          <w:b/>
          <w:sz w:val="24"/>
        </w:rPr>
        <w:t>比选人</w:t>
      </w:r>
      <w:r>
        <w:rPr>
          <w:rFonts w:hint="eastAsia" w:ascii="宋体" w:hAnsi="宋体"/>
          <w:sz w:val="24"/>
        </w:rPr>
        <w:t>）就该项目统筹考虑，整体运营，拟选择合作银行参与上述项目的贷款工作，诚邀贵行（以下简称</w:t>
      </w:r>
      <w:r>
        <w:rPr>
          <w:rFonts w:hint="eastAsia" w:ascii="宋体" w:hAnsi="宋体"/>
          <w:b/>
          <w:sz w:val="24"/>
        </w:rPr>
        <w:t>参选方</w:t>
      </w:r>
      <w:r>
        <w:rPr>
          <w:rFonts w:hint="eastAsia" w:ascii="宋体" w:hAnsi="宋体"/>
          <w:sz w:val="24"/>
        </w:rPr>
        <w:t>）参与此次合作银行比选。</w:t>
      </w:r>
    </w:p>
    <w:p>
      <w:pPr>
        <w:spacing w:line="360" w:lineRule="auto"/>
        <w:ind w:left="113"/>
        <w:rPr>
          <w:rFonts w:ascii="宋体" w:hAnsi="宋体"/>
          <w:b/>
          <w:sz w:val="24"/>
        </w:rPr>
      </w:pPr>
      <w:r>
        <w:rPr>
          <w:rFonts w:hint="eastAsia" w:ascii="宋体" w:hAnsi="宋体"/>
          <w:b/>
          <w:sz w:val="24"/>
        </w:rPr>
        <w:t xml:space="preserve">1、比选内容： </w:t>
      </w:r>
    </w:p>
    <w:p>
      <w:pPr>
        <w:spacing w:line="360" w:lineRule="auto"/>
        <w:ind w:left="1560"/>
        <w:rPr>
          <w:rFonts w:ascii="宋体" w:hAnsi="宋体"/>
          <w:b/>
          <w:sz w:val="24"/>
        </w:rPr>
      </w:pPr>
      <w:r>
        <w:rPr>
          <w:rFonts w:hint="eastAsia" w:ascii="宋体" w:hAnsi="宋体"/>
          <w:sz w:val="24"/>
        </w:rPr>
        <w:t>四川省产业</w:t>
      </w:r>
      <w:r>
        <w:rPr>
          <w:rFonts w:ascii="宋体" w:hAnsi="宋体"/>
          <w:sz w:val="24"/>
        </w:rPr>
        <w:t>园区</w:t>
      </w:r>
      <w:r>
        <w:rPr>
          <w:rFonts w:hint="eastAsia" w:ascii="宋体" w:hAnsi="宋体"/>
          <w:sz w:val="24"/>
        </w:rPr>
        <w:t xml:space="preserve"> “园保贷</w:t>
      </w:r>
      <w:r>
        <w:rPr>
          <w:rFonts w:ascii="宋体" w:hAnsi="宋体"/>
          <w:sz w:val="24"/>
        </w:rPr>
        <w:t>”项目</w:t>
      </w:r>
      <w:r>
        <w:rPr>
          <w:rFonts w:hint="eastAsia" w:ascii="宋体" w:hAnsi="宋体"/>
          <w:sz w:val="24"/>
        </w:rPr>
        <w:t>合作银行比选</w:t>
      </w:r>
    </w:p>
    <w:p>
      <w:pPr>
        <w:spacing w:line="360" w:lineRule="auto"/>
        <w:ind w:left="113"/>
        <w:rPr>
          <w:rFonts w:ascii="宋体" w:hAnsi="宋体"/>
          <w:b/>
          <w:sz w:val="24"/>
        </w:rPr>
      </w:pPr>
      <w:r>
        <w:rPr>
          <w:rFonts w:hint="eastAsia" w:ascii="宋体" w:hAnsi="宋体"/>
          <w:b/>
          <w:sz w:val="24"/>
        </w:rPr>
        <w:t>2、项目概况：</w:t>
      </w:r>
    </w:p>
    <w:p>
      <w:pPr>
        <w:tabs>
          <w:tab w:val="left" w:pos="709"/>
        </w:tabs>
        <w:spacing w:line="360" w:lineRule="auto"/>
        <w:ind w:left="709"/>
        <w:rPr>
          <w:rFonts w:ascii="宋体" w:hAnsi="宋体"/>
          <w:sz w:val="24"/>
        </w:rPr>
      </w:pPr>
      <w:r>
        <w:rPr>
          <w:rFonts w:hint="eastAsia" w:ascii="宋体" w:hAnsi="宋体"/>
          <w:sz w:val="24"/>
        </w:rPr>
        <w:t>四川省产业</w:t>
      </w:r>
      <w:r>
        <w:rPr>
          <w:rFonts w:ascii="宋体" w:hAnsi="宋体"/>
          <w:sz w:val="24"/>
        </w:rPr>
        <w:t>园区</w:t>
      </w:r>
      <w:r>
        <w:rPr>
          <w:rFonts w:hint="eastAsia" w:ascii="宋体" w:hAnsi="宋体"/>
          <w:sz w:val="24"/>
        </w:rPr>
        <w:t xml:space="preserve"> “园保贷</w:t>
      </w:r>
      <w:r>
        <w:rPr>
          <w:rFonts w:ascii="宋体" w:hAnsi="宋体"/>
          <w:sz w:val="24"/>
        </w:rPr>
        <w:t>”项目</w:t>
      </w:r>
    </w:p>
    <w:p>
      <w:pPr>
        <w:pStyle w:val="10"/>
        <w:numPr>
          <w:ilvl w:val="0"/>
          <w:numId w:val="1"/>
        </w:numPr>
        <w:overflowPunct w:val="0"/>
        <w:adjustRightInd w:val="0"/>
        <w:snapToGrid w:val="0"/>
        <w:spacing w:line="580" w:lineRule="exact"/>
        <w:ind w:firstLineChars="0"/>
        <w:rPr>
          <w:rFonts w:ascii="宋体" w:hAnsi="宋体"/>
          <w:sz w:val="24"/>
        </w:rPr>
      </w:pPr>
      <w:r>
        <w:rPr>
          <w:rFonts w:hint="eastAsia" w:ascii="宋体" w:hAnsi="宋体"/>
          <w:sz w:val="24"/>
        </w:rPr>
        <w:t>项目</w:t>
      </w:r>
      <w:r>
        <w:rPr>
          <w:rFonts w:ascii="宋体" w:hAnsi="宋体"/>
          <w:sz w:val="24"/>
        </w:rPr>
        <w:t>背景：</w:t>
      </w:r>
      <w:r>
        <w:rPr>
          <w:rFonts w:hint="eastAsia" w:ascii="宋体" w:hAnsi="宋体"/>
          <w:sz w:val="24"/>
        </w:rPr>
        <w:t>通过实施四川省园区企业“园保贷”项目，发挥财政资金杠杆效应，建立政</w:t>
      </w:r>
      <w:r>
        <w:rPr>
          <w:rFonts w:ascii="宋体" w:hAnsi="宋体"/>
          <w:sz w:val="24"/>
        </w:rPr>
        <w:t>、银、企三方平台</w:t>
      </w:r>
      <w:r>
        <w:rPr>
          <w:rFonts w:hint="eastAsia" w:ascii="宋体" w:hAnsi="宋体"/>
          <w:sz w:val="24"/>
        </w:rPr>
        <w:t>，</w:t>
      </w:r>
      <w:r>
        <w:rPr>
          <w:rFonts w:ascii="宋体" w:hAnsi="宋体"/>
          <w:sz w:val="24"/>
        </w:rPr>
        <w:t>共</w:t>
      </w:r>
      <w:r>
        <w:rPr>
          <w:rFonts w:hint="eastAsia" w:ascii="宋体" w:hAnsi="宋体"/>
          <w:sz w:val="24"/>
        </w:rPr>
        <w:t>同开拓市场、共</w:t>
      </w:r>
      <w:r>
        <w:rPr>
          <w:rFonts w:ascii="宋体" w:hAnsi="宋体"/>
          <w:sz w:val="24"/>
        </w:rPr>
        <w:t>担风险，</w:t>
      </w:r>
      <w:r>
        <w:rPr>
          <w:rFonts w:hint="eastAsia" w:ascii="宋体" w:hAnsi="宋体"/>
          <w:sz w:val="24"/>
        </w:rPr>
        <w:t>无需第三方担保，降低企业门槛和贷款利率，</w:t>
      </w:r>
      <w:r>
        <w:rPr>
          <w:rFonts w:ascii="宋体" w:hAnsi="宋体"/>
          <w:sz w:val="24"/>
        </w:rPr>
        <w:t>为</w:t>
      </w:r>
      <w:r>
        <w:rPr>
          <w:rFonts w:hint="eastAsia" w:ascii="宋体" w:hAnsi="宋体"/>
          <w:sz w:val="24"/>
        </w:rPr>
        <w:t>产业园区中小微企业</w:t>
      </w:r>
      <w:r>
        <w:rPr>
          <w:rFonts w:ascii="宋体" w:hAnsi="宋体"/>
          <w:sz w:val="24"/>
        </w:rPr>
        <w:t>提供融资支持的</w:t>
      </w:r>
      <w:r>
        <w:rPr>
          <w:rFonts w:hint="eastAsia" w:ascii="宋体" w:hAnsi="宋体"/>
          <w:sz w:val="24"/>
        </w:rPr>
        <w:t>政策性信贷产品</w:t>
      </w:r>
      <w:r>
        <w:rPr>
          <w:rFonts w:ascii="宋体" w:hAnsi="宋体"/>
          <w:sz w:val="24"/>
        </w:rPr>
        <w:t>。</w:t>
      </w:r>
    </w:p>
    <w:p>
      <w:pPr>
        <w:numPr>
          <w:ilvl w:val="0"/>
          <w:numId w:val="1"/>
        </w:numPr>
        <w:spacing w:line="580" w:lineRule="atLeast"/>
        <w:ind w:left="1202"/>
        <w:rPr>
          <w:rFonts w:ascii="宋体" w:hAnsi="宋体"/>
          <w:sz w:val="24"/>
        </w:rPr>
      </w:pPr>
      <w:r>
        <w:rPr>
          <w:rFonts w:hint="eastAsia" w:ascii="宋体" w:hAnsi="宋体"/>
          <w:sz w:val="24"/>
        </w:rPr>
        <w:t>项目规模：合作银行按照“园保贷</w:t>
      </w:r>
      <w:r>
        <w:rPr>
          <w:rFonts w:ascii="宋体" w:hAnsi="宋体"/>
          <w:sz w:val="24"/>
        </w:rPr>
        <w:t>”</w:t>
      </w:r>
      <w:r>
        <w:rPr>
          <w:rFonts w:hint="eastAsia" w:ascii="宋体" w:hAnsi="宋体"/>
          <w:sz w:val="24"/>
        </w:rPr>
        <w:t>财政资金池</w:t>
      </w:r>
      <w:r>
        <w:rPr>
          <w:rFonts w:ascii="宋体" w:hAnsi="宋体"/>
          <w:sz w:val="24"/>
        </w:rPr>
        <w:t>额度不</w:t>
      </w:r>
      <w:r>
        <w:rPr>
          <w:rFonts w:hint="eastAsia" w:ascii="宋体" w:hAnsi="宋体"/>
          <w:sz w:val="24"/>
          <w:lang w:val="en-US" w:eastAsia="zh-CN"/>
        </w:rPr>
        <w:t>高于</w:t>
      </w:r>
      <w:r>
        <w:rPr>
          <w:rFonts w:hint="eastAsia" w:ascii="宋体" w:hAnsi="宋体"/>
          <w:sz w:val="24"/>
        </w:rPr>
        <w:t>10倍</w:t>
      </w:r>
      <w:r>
        <w:rPr>
          <w:rFonts w:ascii="宋体" w:hAnsi="宋体"/>
          <w:sz w:val="24"/>
        </w:rPr>
        <w:t>放大给予企业授信</w:t>
      </w:r>
      <w:r>
        <w:rPr>
          <w:rFonts w:hint="eastAsia" w:ascii="宋体" w:hAnsi="宋体"/>
          <w:sz w:val="24"/>
        </w:rPr>
        <w:t>。</w:t>
      </w:r>
    </w:p>
    <w:p>
      <w:pPr>
        <w:pStyle w:val="10"/>
        <w:numPr>
          <w:ilvl w:val="0"/>
          <w:numId w:val="1"/>
        </w:numPr>
        <w:overflowPunct w:val="0"/>
        <w:adjustRightInd w:val="0"/>
        <w:snapToGrid w:val="0"/>
        <w:spacing w:line="580" w:lineRule="atLeast"/>
        <w:ind w:left="1202" w:firstLineChars="0"/>
        <w:rPr>
          <w:rFonts w:ascii="宋体" w:hAnsi="宋体"/>
          <w:sz w:val="24"/>
        </w:rPr>
      </w:pPr>
      <w:r>
        <w:rPr>
          <w:rFonts w:hint="eastAsia" w:ascii="宋体" w:hAnsi="宋体"/>
          <w:sz w:val="24"/>
        </w:rPr>
        <w:t>项目要求：合作银行主要负责贷款发放、风险管理等</w:t>
      </w:r>
      <w:r>
        <w:rPr>
          <w:rFonts w:ascii="宋体" w:hAnsi="宋体"/>
          <w:sz w:val="24"/>
        </w:rPr>
        <w:t>，</w:t>
      </w:r>
      <w:r>
        <w:rPr>
          <w:rFonts w:hint="eastAsia" w:ascii="宋体" w:hAnsi="宋体"/>
          <w:sz w:val="24"/>
        </w:rPr>
        <w:t>对申报</w:t>
      </w:r>
      <w:r>
        <w:rPr>
          <w:rFonts w:ascii="宋体" w:hAnsi="宋体"/>
          <w:sz w:val="24"/>
        </w:rPr>
        <w:t>企业的贷款申请优先筛选审核，为筛选后的企业提供费率较低、</w:t>
      </w:r>
      <w:r>
        <w:rPr>
          <w:rFonts w:hint="eastAsia" w:ascii="宋体" w:hAnsi="宋体"/>
          <w:sz w:val="24"/>
        </w:rPr>
        <w:t>方便</w:t>
      </w:r>
      <w:r>
        <w:rPr>
          <w:rFonts w:ascii="宋体" w:hAnsi="宋体"/>
          <w:sz w:val="24"/>
        </w:rPr>
        <w:t>便捷的融资服务</w:t>
      </w:r>
      <w:r>
        <w:rPr>
          <w:rFonts w:hint="eastAsia" w:ascii="宋体" w:hAnsi="宋体"/>
          <w:sz w:val="24"/>
        </w:rPr>
        <w:t>。合作银行主要选择指标为：实物资产不超过贷款金额50%，放大倍数不低于</w:t>
      </w:r>
      <w:r>
        <w:rPr>
          <w:rFonts w:hint="eastAsia" w:ascii="宋体" w:hAnsi="宋体"/>
          <w:sz w:val="24"/>
          <w:lang w:val="en-US" w:eastAsia="zh-CN"/>
        </w:rPr>
        <w:t>5</w:t>
      </w:r>
      <w:bookmarkStart w:id="0" w:name="_GoBack"/>
      <w:bookmarkEnd w:id="0"/>
      <w:r>
        <w:rPr>
          <w:rFonts w:hint="eastAsia" w:ascii="宋体" w:hAnsi="宋体"/>
          <w:sz w:val="24"/>
        </w:rPr>
        <w:t>倍，贷款利率上浮比例不超过人民银行同期限档次基准利率的20%以及放宽抵质押范围等其他服务条件。</w:t>
      </w:r>
    </w:p>
    <w:p>
      <w:pPr>
        <w:pStyle w:val="10"/>
        <w:numPr>
          <w:ilvl w:val="0"/>
          <w:numId w:val="1"/>
        </w:numPr>
        <w:overflowPunct w:val="0"/>
        <w:adjustRightInd w:val="0"/>
        <w:snapToGrid w:val="0"/>
        <w:spacing w:line="580" w:lineRule="exact"/>
        <w:ind w:firstLineChars="0"/>
        <w:rPr>
          <w:rFonts w:ascii="宋体" w:hAnsi="宋体"/>
          <w:sz w:val="24"/>
        </w:rPr>
      </w:pPr>
      <w:r>
        <w:rPr>
          <w:rFonts w:hint="eastAsia" w:ascii="宋体" w:hAnsi="宋体"/>
          <w:sz w:val="24"/>
        </w:rPr>
        <w:t>风险分担</w:t>
      </w:r>
      <w:r>
        <w:rPr>
          <w:rFonts w:ascii="宋体" w:hAnsi="宋体"/>
          <w:sz w:val="24"/>
        </w:rPr>
        <w:t>：</w:t>
      </w:r>
      <w:r>
        <w:rPr>
          <w:rFonts w:hint="eastAsia" w:ascii="宋体" w:hAnsi="宋体"/>
          <w:sz w:val="24"/>
        </w:rPr>
        <w:t>按借款企业贷款逾期发生的先后顺序，由“财政资金池”中政府风险补偿金和合作银行按照50%：50%的比例分摊。政府风险补偿金扣完为止，承担有限责任。</w:t>
      </w:r>
    </w:p>
    <w:p>
      <w:pPr>
        <w:pStyle w:val="10"/>
        <w:numPr>
          <w:ilvl w:val="0"/>
          <w:numId w:val="1"/>
        </w:numPr>
        <w:overflowPunct w:val="0"/>
        <w:adjustRightInd w:val="0"/>
        <w:snapToGrid w:val="0"/>
        <w:spacing w:line="580" w:lineRule="exact"/>
        <w:ind w:firstLineChars="0"/>
        <w:rPr>
          <w:rFonts w:ascii="宋体" w:hAnsi="宋体"/>
          <w:sz w:val="24"/>
        </w:rPr>
      </w:pPr>
      <w:r>
        <w:rPr>
          <w:rFonts w:hint="eastAsia" w:ascii="宋体" w:hAnsi="宋体"/>
          <w:sz w:val="24"/>
        </w:rPr>
        <w:t>项目</w:t>
      </w:r>
      <w:r>
        <w:rPr>
          <w:rFonts w:ascii="宋体" w:hAnsi="宋体"/>
          <w:sz w:val="24"/>
        </w:rPr>
        <w:t>追偿：</w:t>
      </w:r>
      <w:r>
        <w:rPr>
          <w:rFonts w:hint="eastAsia" w:ascii="宋体" w:hAnsi="宋体"/>
          <w:sz w:val="24"/>
        </w:rPr>
        <w:t>合作银行联合管理机构开展追偿工作，追偿回收的款项（包含处置抵质押物追偿部分）按照各50%的比例偿还银行和政府风险补偿金债权。</w:t>
      </w:r>
    </w:p>
    <w:p>
      <w:pPr>
        <w:pStyle w:val="10"/>
        <w:numPr>
          <w:ilvl w:val="0"/>
          <w:numId w:val="2"/>
        </w:numPr>
        <w:spacing w:line="360" w:lineRule="auto"/>
        <w:ind w:firstLineChars="0"/>
        <w:rPr>
          <w:rFonts w:ascii="宋体" w:hAnsi="宋体"/>
          <w:sz w:val="24"/>
        </w:rPr>
      </w:pPr>
      <w:r>
        <w:rPr>
          <w:rFonts w:hint="eastAsia" w:ascii="宋体" w:hAnsi="宋体"/>
          <w:b/>
          <w:sz w:val="24"/>
        </w:rPr>
        <w:t>比选文件答疑时间</w:t>
      </w:r>
      <w:r>
        <w:rPr>
          <w:rFonts w:hint="eastAsia" w:ascii="宋体" w:hAnsi="宋体"/>
          <w:sz w:val="24"/>
        </w:rPr>
        <w:t>：参选方收到比选文件的2日以内。</w:t>
      </w:r>
    </w:p>
    <w:p>
      <w:pPr>
        <w:pStyle w:val="10"/>
        <w:numPr>
          <w:ilvl w:val="0"/>
          <w:numId w:val="2"/>
        </w:numPr>
        <w:spacing w:line="360" w:lineRule="auto"/>
        <w:ind w:firstLineChars="0"/>
        <w:rPr>
          <w:rFonts w:ascii="宋体" w:hAnsi="宋体"/>
          <w:sz w:val="24"/>
        </w:rPr>
      </w:pPr>
      <w:r>
        <w:rPr>
          <w:rFonts w:hint="eastAsia" w:ascii="宋体" w:hAnsi="宋体"/>
          <w:b/>
          <w:sz w:val="24"/>
        </w:rPr>
        <w:t>参选文件递交截止时间</w:t>
      </w:r>
      <w:r>
        <w:rPr>
          <w:rFonts w:hint="eastAsia" w:ascii="宋体" w:hAnsi="宋体"/>
          <w:sz w:val="24"/>
        </w:rPr>
        <w:t>： 20</w:t>
      </w:r>
      <w:r>
        <w:rPr>
          <w:rFonts w:ascii="宋体" w:hAnsi="宋体"/>
          <w:sz w:val="24"/>
        </w:rPr>
        <w:t>20</w:t>
      </w:r>
      <w:r>
        <w:rPr>
          <w:rFonts w:hint="eastAsia" w:ascii="宋体" w:hAnsi="宋体"/>
          <w:sz w:val="24"/>
        </w:rPr>
        <w:t>年</w:t>
      </w:r>
      <w:r>
        <w:rPr>
          <w:rFonts w:ascii="宋体" w:hAnsi="宋体"/>
          <w:sz w:val="24"/>
        </w:rPr>
        <w:t>8</w:t>
      </w:r>
      <w:r>
        <w:rPr>
          <w:rFonts w:hint="eastAsia" w:ascii="宋体" w:hAnsi="宋体"/>
          <w:sz w:val="24"/>
        </w:rPr>
        <w:t>月</w:t>
      </w:r>
      <w:r>
        <w:rPr>
          <w:rFonts w:hint="eastAsia" w:ascii="宋体" w:hAnsi="宋体"/>
          <w:sz w:val="24"/>
          <w:lang w:val="en-US" w:eastAsia="zh-CN"/>
        </w:rPr>
        <w:t>31</w:t>
      </w:r>
      <w:r>
        <w:rPr>
          <w:rFonts w:hint="eastAsia" w:ascii="宋体" w:hAnsi="宋体"/>
          <w:sz w:val="24"/>
        </w:rPr>
        <w:t>日下午1</w:t>
      </w:r>
      <w:r>
        <w:rPr>
          <w:rFonts w:ascii="宋体" w:hAnsi="宋体"/>
          <w:sz w:val="24"/>
        </w:rPr>
        <w:t>7</w:t>
      </w:r>
      <w:r>
        <w:rPr>
          <w:rFonts w:hint="eastAsia" w:ascii="宋体" w:hAnsi="宋体"/>
          <w:sz w:val="24"/>
        </w:rPr>
        <w:t>：</w:t>
      </w:r>
      <w:r>
        <w:rPr>
          <w:rFonts w:ascii="宋体" w:hAnsi="宋体"/>
          <w:sz w:val="24"/>
        </w:rPr>
        <w:t>0</w:t>
      </w:r>
      <w:r>
        <w:rPr>
          <w:rFonts w:hint="eastAsia" w:ascii="宋体" w:hAnsi="宋体"/>
          <w:sz w:val="24"/>
        </w:rPr>
        <w:t>0前。</w:t>
      </w:r>
    </w:p>
    <w:p>
      <w:pPr>
        <w:spacing w:line="360" w:lineRule="auto"/>
        <w:ind w:left="113"/>
        <w:rPr>
          <w:rFonts w:ascii="宋体" w:hAnsi="宋体"/>
          <w:sz w:val="24"/>
        </w:rPr>
      </w:pPr>
      <w:r>
        <w:rPr>
          <w:rFonts w:hint="eastAsia" w:ascii="宋体" w:hAnsi="宋体"/>
          <w:b/>
          <w:sz w:val="24"/>
        </w:rPr>
        <w:t>5、参选文件递交地点</w:t>
      </w:r>
      <w:r>
        <w:rPr>
          <w:rFonts w:hint="eastAsia" w:ascii="宋体" w:hAnsi="宋体"/>
          <w:sz w:val="24"/>
        </w:rPr>
        <w:t>：</w:t>
      </w:r>
      <w:r>
        <w:rPr>
          <w:rFonts w:hint="eastAsia" w:ascii="宋体" w:hAnsi="宋体"/>
          <w:b/>
          <w:sz w:val="24"/>
        </w:rPr>
        <w:t>成都高新区锦城大道</w:t>
      </w:r>
      <w:r>
        <w:rPr>
          <w:rFonts w:ascii="宋体" w:hAnsi="宋体"/>
          <w:b/>
          <w:sz w:val="24"/>
        </w:rPr>
        <w:t>539</w:t>
      </w:r>
      <w:r>
        <w:rPr>
          <w:rFonts w:hint="eastAsia" w:ascii="宋体" w:hAnsi="宋体"/>
          <w:b/>
          <w:sz w:val="24"/>
        </w:rPr>
        <w:t>号盈创动力大厦12楼</w:t>
      </w:r>
      <w:r>
        <w:rPr>
          <w:rFonts w:ascii="宋体" w:hAnsi="宋体"/>
          <w:b/>
          <w:sz w:val="24"/>
        </w:rPr>
        <w:t>6</w:t>
      </w:r>
      <w:r>
        <w:rPr>
          <w:rFonts w:hint="eastAsia" w:ascii="宋体" w:hAnsi="宋体"/>
          <w:b/>
          <w:sz w:val="24"/>
        </w:rPr>
        <w:t>号</w:t>
      </w:r>
      <w:r>
        <w:rPr>
          <w:rFonts w:ascii="宋体" w:hAnsi="宋体"/>
          <w:b/>
          <w:sz w:val="24"/>
        </w:rPr>
        <w:t xml:space="preserve">  </w:t>
      </w:r>
      <w:r>
        <w:rPr>
          <w:rFonts w:hint="eastAsia" w:ascii="宋体" w:hAnsi="宋体"/>
          <w:b/>
          <w:sz w:val="24"/>
        </w:rPr>
        <w:t>四川工创企业管理服务有限公司会议室。</w:t>
      </w:r>
    </w:p>
    <w:p>
      <w:pPr>
        <w:pStyle w:val="10"/>
        <w:numPr>
          <w:ilvl w:val="0"/>
          <w:numId w:val="3"/>
        </w:numPr>
        <w:spacing w:line="360" w:lineRule="auto"/>
        <w:ind w:firstLineChars="0"/>
        <w:rPr>
          <w:rFonts w:ascii="宋体" w:hAnsi="宋体"/>
          <w:sz w:val="24"/>
        </w:rPr>
      </w:pPr>
      <w:r>
        <w:rPr>
          <w:rFonts w:hint="eastAsia" w:ascii="宋体" w:hAnsi="宋体"/>
          <w:b/>
          <w:sz w:val="24"/>
        </w:rPr>
        <w:t>参选文件份数</w:t>
      </w:r>
      <w:r>
        <w:rPr>
          <w:rFonts w:hint="eastAsia" w:ascii="宋体" w:hAnsi="宋体"/>
          <w:sz w:val="24"/>
        </w:rPr>
        <w:t>：PPT电子文档一份，印刷文本三份。</w:t>
      </w:r>
    </w:p>
    <w:p>
      <w:pPr>
        <w:pStyle w:val="10"/>
        <w:numPr>
          <w:ilvl w:val="0"/>
          <w:numId w:val="3"/>
        </w:numPr>
        <w:spacing w:line="360" w:lineRule="auto"/>
        <w:ind w:firstLineChars="0"/>
        <w:rPr>
          <w:rFonts w:ascii="宋体" w:hAnsi="宋体"/>
          <w:sz w:val="24"/>
        </w:rPr>
      </w:pPr>
      <w:r>
        <w:rPr>
          <w:rFonts w:hint="eastAsia" w:ascii="宋体" w:hAnsi="宋体"/>
          <w:b/>
          <w:sz w:val="24"/>
        </w:rPr>
        <w:t>方案评选地点：四川工创企业管理服务有限公司。</w:t>
      </w:r>
    </w:p>
    <w:p>
      <w:pPr>
        <w:pStyle w:val="10"/>
        <w:numPr>
          <w:ilvl w:val="0"/>
          <w:numId w:val="3"/>
        </w:numPr>
        <w:autoSpaceDE w:val="0"/>
        <w:autoSpaceDN w:val="0"/>
        <w:adjustRightInd w:val="0"/>
        <w:ind w:firstLineChars="0"/>
        <w:jc w:val="left"/>
        <w:rPr>
          <w:rFonts w:ascii="宋体" w:hAnsi="宋体"/>
          <w:b/>
          <w:sz w:val="24"/>
        </w:rPr>
      </w:pPr>
      <w:r>
        <w:rPr>
          <w:rFonts w:hint="eastAsia" w:ascii="宋体" w:hAnsi="宋体"/>
          <w:b/>
          <w:sz w:val="24"/>
        </w:rPr>
        <w:t>联系人：李攀</w:t>
      </w:r>
      <w:r>
        <w:rPr>
          <w:rFonts w:ascii="宋体" w:hAnsi="宋体"/>
          <w:b/>
          <w:sz w:val="24"/>
        </w:rPr>
        <w:t xml:space="preserve">  </w:t>
      </w:r>
      <w:r>
        <w:rPr>
          <w:rFonts w:hint="eastAsia" w:ascii="宋体" w:hAnsi="宋体"/>
          <w:b/>
          <w:sz w:val="24"/>
        </w:rPr>
        <w:t>电话：</w:t>
      </w:r>
      <w:r>
        <w:rPr>
          <w:rFonts w:ascii="宋体" w:hAnsi="宋体"/>
          <w:b/>
          <w:sz w:val="24"/>
        </w:rPr>
        <w:t>028-85236653</w:t>
      </w:r>
    </w:p>
    <w:p>
      <w:pPr>
        <w:pStyle w:val="10"/>
        <w:autoSpaceDE w:val="0"/>
        <w:autoSpaceDN w:val="0"/>
        <w:adjustRightInd w:val="0"/>
        <w:ind w:left="508" w:firstLine="0" w:firstLineChars="0"/>
        <w:jc w:val="left"/>
        <w:rPr>
          <w:rFonts w:ascii="宋体" w:hAnsi="宋体"/>
          <w:b/>
          <w:sz w:val="24"/>
        </w:rPr>
      </w:pPr>
    </w:p>
    <w:p>
      <w:pPr>
        <w:tabs>
          <w:tab w:val="left" w:pos="2880"/>
          <w:tab w:val="center" w:pos="4153"/>
        </w:tabs>
        <w:spacing w:line="360" w:lineRule="auto"/>
        <w:jc w:val="left"/>
        <w:rPr>
          <w:rFonts w:ascii="宋体" w:hAnsi="宋体"/>
          <w:b/>
          <w:bCs/>
          <w:spacing w:val="20"/>
          <w:sz w:val="24"/>
        </w:rPr>
      </w:pPr>
      <w:r>
        <w:rPr>
          <w:rFonts w:hint="eastAsia" w:ascii="宋体" w:hAnsi="宋体"/>
          <w:b/>
          <w:sz w:val="24"/>
        </w:rPr>
        <w:t>第二部分 参选单位资格条件</w:t>
      </w:r>
    </w:p>
    <w:p>
      <w:pPr>
        <w:numPr>
          <w:ilvl w:val="0"/>
          <w:numId w:val="4"/>
        </w:numPr>
        <w:spacing w:line="360" w:lineRule="auto"/>
        <w:rPr>
          <w:rFonts w:ascii="宋体" w:hAnsi="宋体"/>
          <w:sz w:val="24"/>
        </w:rPr>
      </w:pPr>
      <w:r>
        <w:rPr>
          <w:rFonts w:hint="eastAsia" w:ascii="宋体" w:hAnsi="宋体"/>
          <w:sz w:val="24"/>
        </w:rPr>
        <w:t>在中华人民共和国境内注册金融机构。</w:t>
      </w:r>
    </w:p>
    <w:p>
      <w:pPr>
        <w:numPr>
          <w:ilvl w:val="0"/>
          <w:numId w:val="4"/>
        </w:numPr>
        <w:tabs>
          <w:tab w:val="left" w:pos="426"/>
          <w:tab w:val="clear" w:pos="227"/>
        </w:tabs>
        <w:spacing w:line="360" w:lineRule="auto"/>
        <w:rPr>
          <w:rFonts w:ascii="宋体" w:hAnsi="宋体"/>
          <w:sz w:val="24"/>
        </w:rPr>
      </w:pPr>
      <w:r>
        <w:rPr>
          <w:rFonts w:hint="eastAsia" w:ascii="宋体" w:hAnsi="宋体"/>
          <w:sz w:val="24"/>
        </w:rPr>
        <w:t>具有相关中小</w:t>
      </w:r>
      <w:r>
        <w:rPr>
          <w:rFonts w:ascii="宋体" w:hAnsi="宋体"/>
          <w:sz w:val="24"/>
        </w:rPr>
        <w:t>企业贷款</w:t>
      </w:r>
      <w:r>
        <w:rPr>
          <w:rFonts w:hint="eastAsia" w:ascii="宋体" w:hAnsi="宋体"/>
          <w:sz w:val="24"/>
        </w:rPr>
        <w:t>相关服务的经验。</w:t>
      </w:r>
    </w:p>
    <w:p>
      <w:pPr>
        <w:numPr>
          <w:ilvl w:val="0"/>
          <w:numId w:val="4"/>
        </w:numPr>
        <w:tabs>
          <w:tab w:val="left" w:pos="426"/>
          <w:tab w:val="clear" w:pos="227"/>
        </w:tabs>
        <w:spacing w:line="360" w:lineRule="auto"/>
        <w:rPr>
          <w:rFonts w:ascii="宋体" w:hAnsi="宋体"/>
          <w:sz w:val="24"/>
        </w:rPr>
      </w:pPr>
      <w:r>
        <w:rPr>
          <w:rFonts w:hint="eastAsia" w:ascii="宋体" w:hAnsi="宋体"/>
          <w:sz w:val="24"/>
        </w:rPr>
        <w:t>能为本项目成立独立、专属的项目小组，并且定人定岗、人员固定。</w:t>
      </w:r>
    </w:p>
    <w:p>
      <w:pPr>
        <w:numPr>
          <w:ilvl w:val="0"/>
          <w:numId w:val="4"/>
        </w:numPr>
        <w:tabs>
          <w:tab w:val="left" w:pos="426"/>
          <w:tab w:val="clear" w:pos="227"/>
        </w:tabs>
        <w:spacing w:line="360" w:lineRule="auto"/>
        <w:rPr>
          <w:rFonts w:ascii="宋体" w:hAnsi="宋体"/>
          <w:sz w:val="24"/>
        </w:rPr>
      </w:pPr>
      <w:r>
        <w:rPr>
          <w:rFonts w:hint="eastAsia" w:ascii="宋体" w:hAnsi="宋体"/>
          <w:sz w:val="24"/>
        </w:rPr>
        <w:t>规范化运作：机构健全，业务流程规范；业务人员技能突出，团队协作良好。</w:t>
      </w:r>
    </w:p>
    <w:p>
      <w:pPr>
        <w:spacing w:line="360" w:lineRule="auto"/>
        <w:ind w:left="113"/>
        <w:rPr>
          <w:rFonts w:ascii="宋体" w:hAnsi="宋体"/>
          <w:sz w:val="24"/>
        </w:rPr>
      </w:pPr>
    </w:p>
    <w:p>
      <w:pPr>
        <w:widowControl/>
        <w:spacing w:line="360" w:lineRule="auto"/>
        <w:ind w:right="2"/>
        <w:rPr>
          <w:rFonts w:ascii="宋体" w:hAnsi="宋体" w:cs="宋体"/>
          <w:b/>
          <w:kern w:val="0"/>
          <w:sz w:val="24"/>
        </w:rPr>
      </w:pPr>
      <w:r>
        <w:rPr>
          <w:rFonts w:hint="eastAsia" w:ascii="宋体" w:hAnsi="宋体"/>
          <w:b/>
          <w:sz w:val="24"/>
        </w:rPr>
        <w:t>第三部分 参选单位需提交的参选文件要求</w:t>
      </w:r>
    </w:p>
    <w:p>
      <w:pPr>
        <w:pStyle w:val="10"/>
        <w:numPr>
          <w:ilvl w:val="0"/>
          <w:numId w:val="5"/>
        </w:numPr>
        <w:tabs>
          <w:tab w:val="left" w:pos="709"/>
        </w:tabs>
        <w:spacing w:line="360" w:lineRule="auto"/>
        <w:ind w:firstLineChars="0"/>
        <w:rPr>
          <w:rFonts w:ascii="宋体" w:hAnsi="宋体"/>
          <w:b/>
          <w:sz w:val="24"/>
        </w:rPr>
      </w:pPr>
      <w:r>
        <w:rPr>
          <w:rFonts w:hint="eastAsia" w:ascii="宋体" w:hAnsi="宋体"/>
          <w:b/>
          <w:sz w:val="24"/>
        </w:rPr>
        <w:t>业务合作</w:t>
      </w:r>
      <w:r>
        <w:rPr>
          <w:rFonts w:ascii="宋体" w:hAnsi="宋体"/>
          <w:b/>
          <w:sz w:val="24"/>
        </w:rPr>
        <w:t>方案</w:t>
      </w:r>
    </w:p>
    <w:p>
      <w:pPr>
        <w:tabs>
          <w:tab w:val="left" w:pos="1620"/>
        </w:tabs>
        <w:spacing w:line="360" w:lineRule="auto"/>
        <w:ind w:left="416" w:leftChars="198" w:firstLine="307" w:firstLineChars="128"/>
        <w:rPr>
          <w:rFonts w:ascii="宋体" w:hAnsi="宋体"/>
          <w:sz w:val="24"/>
        </w:rPr>
      </w:pPr>
      <w:r>
        <w:rPr>
          <w:rFonts w:hint="eastAsia" w:ascii="宋体" w:hAnsi="宋体"/>
          <w:sz w:val="24"/>
        </w:rPr>
        <w:t>业务</w:t>
      </w:r>
      <w:r>
        <w:rPr>
          <w:rFonts w:ascii="宋体" w:hAnsi="宋体"/>
          <w:sz w:val="24"/>
        </w:rPr>
        <w:t>合作</w:t>
      </w:r>
      <w:r>
        <w:rPr>
          <w:rFonts w:hint="eastAsia" w:ascii="宋体" w:hAnsi="宋体"/>
          <w:sz w:val="24"/>
        </w:rPr>
        <w:t>方案包括但不限于以下内容：</w:t>
      </w:r>
    </w:p>
    <w:p>
      <w:pPr>
        <w:numPr>
          <w:ilvl w:val="0"/>
          <w:numId w:val="6"/>
        </w:numPr>
        <w:tabs>
          <w:tab w:val="left" w:pos="851"/>
          <w:tab w:val="clear" w:pos="1680"/>
        </w:tabs>
        <w:spacing w:line="360" w:lineRule="auto"/>
        <w:ind w:left="993" w:hanging="284"/>
        <w:rPr>
          <w:rFonts w:ascii="宋体" w:hAnsi="宋体"/>
          <w:sz w:val="24"/>
        </w:rPr>
      </w:pPr>
      <w:r>
        <w:rPr>
          <w:rFonts w:hint="eastAsia" w:ascii="宋体" w:hAnsi="宋体"/>
          <w:sz w:val="24"/>
        </w:rPr>
        <w:t>中小微</w:t>
      </w:r>
      <w:r>
        <w:rPr>
          <w:rFonts w:ascii="宋体" w:hAnsi="宋体"/>
          <w:sz w:val="24"/>
        </w:rPr>
        <w:t>企业融资服务</w:t>
      </w:r>
      <w:r>
        <w:rPr>
          <w:rFonts w:hint="eastAsia" w:ascii="宋体" w:hAnsi="宋体"/>
          <w:sz w:val="24"/>
        </w:rPr>
        <w:t>优势；</w:t>
      </w:r>
    </w:p>
    <w:p>
      <w:pPr>
        <w:numPr>
          <w:ilvl w:val="0"/>
          <w:numId w:val="6"/>
        </w:numPr>
        <w:tabs>
          <w:tab w:val="left" w:pos="851"/>
          <w:tab w:val="clear" w:pos="1680"/>
        </w:tabs>
        <w:spacing w:line="360" w:lineRule="auto"/>
        <w:ind w:left="993" w:hanging="284"/>
        <w:rPr>
          <w:rFonts w:ascii="宋体" w:hAnsi="宋体"/>
          <w:sz w:val="24"/>
        </w:rPr>
      </w:pPr>
      <w:r>
        <w:rPr>
          <w:rFonts w:hint="eastAsia" w:ascii="宋体" w:hAnsi="宋体"/>
          <w:sz w:val="24"/>
        </w:rPr>
        <w:t>合作</w:t>
      </w:r>
      <w:r>
        <w:rPr>
          <w:rFonts w:ascii="宋体" w:hAnsi="宋体"/>
          <w:sz w:val="24"/>
        </w:rPr>
        <w:t>银行网点覆盖情况</w:t>
      </w:r>
      <w:r>
        <w:rPr>
          <w:rFonts w:hint="eastAsia" w:ascii="宋体" w:hAnsi="宋体"/>
          <w:sz w:val="24"/>
        </w:rPr>
        <w:t>；</w:t>
      </w:r>
    </w:p>
    <w:p>
      <w:pPr>
        <w:numPr>
          <w:ilvl w:val="0"/>
          <w:numId w:val="6"/>
        </w:numPr>
        <w:tabs>
          <w:tab w:val="left" w:pos="993"/>
          <w:tab w:val="clear" w:pos="1680"/>
        </w:tabs>
        <w:spacing w:line="360" w:lineRule="auto"/>
        <w:ind w:left="993" w:hanging="284"/>
        <w:rPr>
          <w:rFonts w:ascii="宋体" w:hAnsi="宋体"/>
          <w:sz w:val="24"/>
        </w:rPr>
      </w:pPr>
      <w:r>
        <w:rPr>
          <w:rFonts w:hint="eastAsia" w:ascii="宋体" w:hAnsi="宋体"/>
          <w:sz w:val="24"/>
        </w:rPr>
        <w:t>客户储备优势；</w:t>
      </w:r>
    </w:p>
    <w:p>
      <w:pPr>
        <w:numPr>
          <w:ilvl w:val="0"/>
          <w:numId w:val="6"/>
        </w:numPr>
        <w:tabs>
          <w:tab w:val="left" w:pos="993"/>
          <w:tab w:val="clear" w:pos="1680"/>
        </w:tabs>
        <w:spacing w:line="360" w:lineRule="auto"/>
        <w:ind w:left="993" w:hanging="284"/>
        <w:rPr>
          <w:rFonts w:ascii="宋体" w:hAnsi="宋体"/>
          <w:sz w:val="24"/>
        </w:rPr>
      </w:pPr>
      <w:r>
        <w:rPr>
          <w:rFonts w:hint="eastAsia" w:ascii="宋体" w:hAnsi="宋体"/>
          <w:sz w:val="24"/>
        </w:rPr>
        <w:t>“园保贷</w:t>
      </w:r>
      <w:r>
        <w:rPr>
          <w:rFonts w:ascii="宋体" w:hAnsi="宋体"/>
          <w:sz w:val="24"/>
        </w:rPr>
        <w:t>”</w:t>
      </w:r>
      <w:r>
        <w:rPr>
          <w:rFonts w:hint="eastAsia" w:ascii="宋体" w:hAnsi="宋体"/>
          <w:sz w:val="24"/>
        </w:rPr>
        <w:t>产品审贷时效性；</w:t>
      </w:r>
    </w:p>
    <w:p>
      <w:pPr>
        <w:numPr>
          <w:ilvl w:val="0"/>
          <w:numId w:val="6"/>
        </w:numPr>
        <w:tabs>
          <w:tab w:val="left" w:pos="993"/>
          <w:tab w:val="clear" w:pos="1680"/>
        </w:tabs>
        <w:spacing w:line="360" w:lineRule="auto"/>
        <w:ind w:left="993" w:hanging="284"/>
        <w:rPr>
          <w:rFonts w:ascii="宋体" w:hAnsi="宋体"/>
          <w:sz w:val="24"/>
        </w:rPr>
      </w:pPr>
      <w:r>
        <w:rPr>
          <w:rFonts w:hint="eastAsia" w:ascii="宋体" w:hAnsi="宋体"/>
          <w:sz w:val="24"/>
        </w:rPr>
        <w:t>风险容忍度及创新举措；</w:t>
      </w:r>
    </w:p>
    <w:p>
      <w:pPr>
        <w:numPr>
          <w:ilvl w:val="0"/>
          <w:numId w:val="6"/>
        </w:numPr>
        <w:tabs>
          <w:tab w:val="left" w:pos="993"/>
          <w:tab w:val="clear" w:pos="1680"/>
        </w:tabs>
        <w:spacing w:line="360" w:lineRule="auto"/>
        <w:ind w:left="993" w:hanging="284"/>
        <w:rPr>
          <w:rFonts w:ascii="宋体" w:hAnsi="宋体"/>
          <w:sz w:val="24"/>
        </w:rPr>
      </w:pPr>
      <w:r>
        <w:rPr>
          <w:rFonts w:hint="eastAsia" w:ascii="宋体" w:hAnsi="宋体"/>
          <w:sz w:val="24"/>
        </w:rPr>
        <w:t>贷后</w:t>
      </w:r>
      <w:r>
        <w:rPr>
          <w:rFonts w:ascii="宋体" w:hAnsi="宋体"/>
          <w:sz w:val="24"/>
        </w:rPr>
        <w:t>管理工作；</w:t>
      </w:r>
    </w:p>
    <w:p>
      <w:pPr>
        <w:numPr>
          <w:ilvl w:val="0"/>
          <w:numId w:val="6"/>
        </w:numPr>
        <w:tabs>
          <w:tab w:val="left" w:pos="993"/>
          <w:tab w:val="clear" w:pos="1680"/>
        </w:tabs>
        <w:spacing w:line="360" w:lineRule="auto"/>
        <w:ind w:left="993" w:hanging="284"/>
        <w:rPr>
          <w:rFonts w:ascii="宋体" w:hAnsi="宋体"/>
          <w:sz w:val="24"/>
        </w:rPr>
      </w:pPr>
      <w:r>
        <w:rPr>
          <w:rFonts w:hint="eastAsia" w:ascii="宋体" w:hAnsi="宋体"/>
          <w:sz w:val="24"/>
        </w:rPr>
        <w:t>风险</w:t>
      </w:r>
      <w:r>
        <w:rPr>
          <w:rFonts w:ascii="宋体" w:hAnsi="宋体"/>
          <w:sz w:val="24"/>
        </w:rPr>
        <w:t>补偿机制；</w:t>
      </w:r>
    </w:p>
    <w:p>
      <w:pPr>
        <w:numPr>
          <w:ilvl w:val="0"/>
          <w:numId w:val="6"/>
        </w:numPr>
        <w:tabs>
          <w:tab w:val="left" w:pos="993"/>
          <w:tab w:val="clear" w:pos="1680"/>
        </w:tabs>
        <w:spacing w:line="360" w:lineRule="auto"/>
        <w:ind w:left="993" w:hanging="284"/>
        <w:rPr>
          <w:rFonts w:ascii="宋体" w:hAnsi="宋体"/>
          <w:sz w:val="24"/>
        </w:rPr>
      </w:pPr>
      <w:r>
        <w:rPr>
          <w:rFonts w:hint="eastAsia" w:ascii="宋体" w:hAnsi="宋体"/>
          <w:sz w:val="24"/>
        </w:rPr>
        <w:t>项目追偿</w:t>
      </w:r>
      <w:r>
        <w:rPr>
          <w:rFonts w:ascii="宋体" w:hAnsi="宋体"/>
          <w:sz w:val="24"/>
        </w:rPr>
        <w:t>机制</w:t>
      </w:r>
      <w:r>
        <w:rPr>
          <w:rFonts w:hint="eastAsia" w:ascii="宋体" w:hAnsi="宋体"/>
          <w:sz w:val="24"/>
        </w:rPr>
        <w:t>；</w:t>
      </w:r>
    </w:p>
    <w:p>
      <w:pPr>
        <w:numPr>
          <w:ilvl w:val="0"/>
          <w:numId w:val="6"/>
        </w:numPr>
        <w:tabs>
          <w:tab w:val="left" w:pos="993"/>
          <w:tab w:val="clear" w:pos="1680"/>
        </w:tabs>
        <w:spacing w:line="360" w:lineRule="auto"/>
        <w:ind w:left="993" w:hanging="284"/>
        <w:rPr>
          <w:rFonts w:ascii="宋体" w:hAnsi="宋体"/>
          <w:sz w:val="24"/>
        </w:rPr>
      </w:pPr>
      <w:r>
        <w:rPr>
          <w:rFonts w:hint="eastAsia" w:ascii="宋体" w:hAnsi="宋体"/>
          <w:sz w:val="24"/>
        </w:rPr>
        <w:t>退出</w:t>
      </w:r>
      <w:r>
        <w:rPr>
          <w:rFonts w:ascii="宋体" w:hAnsi="宋体"/>
          <w:sz w:val="24"/>
        </w:rPr>
        <w:t>机制</w:t>
      </w:r>
      <w:r>
        <w:rPr>
          <w:rFonts w:hint="eastAsia" w:ascii="宋体" w:hAnsi="宋体"/>
          <w:color w:val="000000"/>
          <w:sz w:val="24"/>
        </w:rPr>
        <w:t>。</w:t>
      </w:r>
    </w:p>
    <w:p>
      <w:pPr>
        <w:pStyle w:val="10"/>
        <w:numPr>
          <w:ilvl w:val="0"/>
          <w:numId w:val="7"/>
        </w:numPr>
        <w:spacing w:line="360" w:lineRule="auto"/>
        <w:ind w:firstLineChars="0"/>
        <w:rPr>
          <w:rFonts w:ascii="宋体" w:hAnsi="宋体"/>
          <w:b/>
          <w:sz w:val="24"/>
        </w:rPr>
      </w:pPr>
      <w:r>
        <w:rPr>
          <w:rFonts w:hint="eastAsia" w:ascii="宋体" w:hAnsi="宋体"/>
          <w:b/>
          <w:sz w:val="24"/>
        </w:rPr>
        <w:t>综合实力展示</w:t>
      </w:r>
    </w:p>
    <w:p>
      <w:pPr>
        <w:numPr>
          <w:ilvl w:val="0"/>
          <w:numId w:val="8"/>
        </w:numPr>
        <w:tabs>
          <w:tab w:val="left" w:pos="993"/>
          <w:tab w:val="clear" w:pos="1680"/>
        </w:tabs>
        <w:spacing w:line="360" w:lineRule="auto"/>
        <w:ind w:left="993" w:hanging="284"/>
        <w:rPr>
          <w:rFonts w:ascii="宋体" w:hAnsi="宋体"/>
          <w:sz w:val="24"/>
        </w:rPr>
      </w:pPr>
      <w:r>
        <w:rPr>
          <w:rFonts w:hint="eastAsia" w:ascii="宋体" w:hAnsi="宋体"/>
          <w:sz w:val="24"/>
        </w:rPr>
        <w:t>参选方简介、营业执照、荣誉证明等；</w:t>
      </w:r>
    </w:p>
    <w:p>
      <w:pPr>
        <w:numPr>
          <w:ilvl w:val="0"/>
          <w:numId w:val="8"/>
        </w:numPr>
        <w:tabs>
          <w:tab w:val="left" w:pos="993"/>
          <w:tab w:val="clear" w:pos="1680"/>
        </w:tabs>
        <w:spacing w:line="360" w:lineRule="auto"/>
        <w:ind w:left="993" w:hanging="284"/>
        <w:rPr>
          <w:rFonts w:ascii="宋体" w:hAnsi="宋体"/>
          <w:sz w:val="24"/>
        </w:rPr>
      </w:pPr>
      <w:r>
        <w:rPr>
          <w:rFonts w:hint="eastAsia" w:ascii="宋体" w:hAnsi="宋体"/>
          <w:sz w:val="24"/>
        </w:rPr>
        <w:t>提供公司简介、基本架构、股东构成，针对项目的策划组织方式、管理程序、流程、服务内容和服务模式等；</w:t>
      </w:r>
    </w:p>
    <w:p>
      <w:pPr>
        <w:numPr>
          <w:ilvl w:val="0"/>
          <w:numId w:val="8"/>
        </w:numPr>
        <w:tabs>
          <w:tab w:val="left" w:pos="993"/>
          <w:tab w:val="clear" w:pos="1680"/>
        </w:tabs>
        <w:spacing w:line="360" w:lineRule="auto"/>
        <w:ind w:left="993" w:hanging="284"/>
        <w:rPr>
          <w:rFonts w:ascii="宋体" w:hAnsi="宋体"/>
          <w:sz w:val="24"/>
        </w:rPr>
      </w:pPr>
      <w:r>
        <w:rPr>
          <w:rFonts w:hint="eastAsia" w:ascii="宋体" w:hAnsi="宋体"/>
          <w:sz w:val="24"/>
        </w:rPr>
        <w:t>参选方近三年来服务的地区、</w:t>
      </w:r>
      <w:r>
        <w:rPr>
          <w:rFonts w:ascii="宋体" w:hAnsi="宋体"/>
          <w:sz w:val="24"/>
        </w:rPr>
        <w:t>企业</w:t>
      </w:r>
      <w:r>
        <w:rPr>
          <w:rFonts w:hint="eastAsia" w:ascii="宋体" w:hAnsi="宋体"/>
          <w:sz w:val="24"/>
        </w:rPr>
        <w:t>等成功案例展示；</w:t>
      </w:r>
    </w:p>
    <w:p>
      <w:pPr>
        <w:numPr>
          <w:ilvl w:val="0"/>
          <w:numId w:val="8"/>
        </w:numPr>
        <w:tabs>
          <w:tab w:val="left" w:pos="993"/>
          <w:tab w:val="clear" w:pos="1680"/>
        </w:tabs>
        <w:spacing w:line="360" w:lineRule="auto"/>
        <w:ind w:left="993" w:hanging="284"/>
        <w:rPr>
          <w:rFonts w:ascii="宋体" w:hAnsi="宋体"/>
          <w:sz w:val="24"/>
        </w:rPr>
      </w:pPr>
      <w:r>
        <w:rPr>
          <w:rFonts w:hint="eastAsia" w:ascii="宋体" w:hAnsi="宋体"/>
          <w:sz w:val="24"/>
        </w:rPr>
        <w:t>拥有的资源整合能力，利用此资源进行配合项目进行推广工作的能力。</w:t>
      </w:r>
    </w:p>
    <w:p>
      <w:pPr>
        <w:tabs>
          <w:tab w:val="left" w:pos="709"/>
        </w:tabs>
        <w:spacing w:line="360" w:lineRule="auto"/>
        <w:ind w:left="709"/>
        <w:rPr>
          <w:rFonts w:ascii="宋体" w:hAnsi="宋体"/>
          <w:sz w:val="24"/>
        </w:rPr>
      </w:pPr>
      <w:r>
        <w:rPr>
          <w:rFonts w:hint="eastAsia" w:ascii="宋体" w:hAnsi="宋体"/>
          <w:sz w:val="24"/>
        </w:rPr>
        <w:t xml:space="preserve">      </w:t>
      </w:r>
    </w:p>
    <w:p>
      <w:pPr>
        <w:tabs>
          <w:tab w:val="left" w:pos="2880"/>
          <w:tab w:val="center" w:pos="4153"/>
        </w:tabs>
        <w:spacing w:line="360" w:lineRule="auto"/>
        <w:jc w:val="left"/>
        <w:rPr>
          <w:rFonts w:ascii="宋体" w:hAnsi="宋体"/>
          <w:b/>
          <w:bCs/>
          <w:spacing w:val="20"/>
          <w:sz w:val="24"/>
        </w:rPr>
      </w:pPr>
      <w:r>
        <w:rPr>
          <w:rFonts w:hint="eastAsia" w:ascii="宋体" w:hAnsi="宋体"/>
          <w:b/>
          <w:sz w:val="24"/>
        </w:rPr>
        <w:t>第四部分 比选细则</w:t>
      </w:r>
    </w:p>
    <w:p>
      <w:pPr>
        <w:numPr>
          <w:ilvl w:val="0"/>
          <w:numId w:val="9"/>
        </w:numPr>
        <w:spacing w:line="360" w:lineRule="auto"/>
        <w:rPr>
          <w:rFonts w:ascii="宋体" w:hAnsi="宋体"/>
          <w:b/>
          <w:sz w:val="24"/>
        </w:rPr>
      </w:pPr>
      <w:r>
        <w:rPr>
          <w:rFonts w:hint="eastAsia" w:ascii="宋体" w:hAnsi="宋体"/>
          <w:b/>
          <w:sz w:val="24"/>
        </w:rPr>
        <w:t>比选费用</w:t>
      </w:r>
    </w:p>
    <w:p>
      <w:pPr>
        <w:spacing w:line="360" w:lineRule="auto"/>
        <w:ind w:left="315" w:leftChars="150" w:firstLine="480" w:firstLineChars="200"/>
        <w:rPr>
          <w:rFonts w:ascii="宋体" w:hAnsi="宋体"/>
          <w:sz w:val="24"/>
        </w:rPr>
      </w:pPr>
      <w:r>
        <w:rPr>
          <w:rFonts w:hint="eastAsia" w:ascii="宋体" w:hAnsi="宋体"/>
          <w:sz w:val="24"/>
        </w:rPr>
        <w:t>参选方需自行承担与参选有关的所有费用，包括参选文件准备、提交、评比等相关费用。无论参选结果如何，比选人不承担、分担任何相关类似费用。</w:t>
      </w:r>
    </w:p>
    <w:p>
      <w:pPr>
        <w:numPr>
          <w:ilvl w:val="0"/>
          <w:numId w:val="9"/>
        </w:numPr>
        <w:spacing w:line="360" w:lineRule="auto"/>
        <w:rPr>
          <w:rFonts w:ascii="宋体" w:hAnsi="宋体"/>
          <w:sz w:val="24"/>
        </w:rPr>
      </w:pPr>
      <w:r>
        <w:rPr>
          <w:rFonts w:hint="eastAsia" w:ascii="宋体" w:hAnsi="宋体"/>
          <w:b/>
          <w:sz w:val="24"/>
        </w:rPr>
        <w:t>参选文件要求</w:t>
      </w:r>
    </w:p>
    <w:p>
      <w:pPr>
        <w:spacing w:line="360" w:lineRule="auto"/>
        <w:ind w:left="315" w:leftChars="150" w:firstLine="480" w:firstLineChars="200"/>
        <w:rPr>
          <w:rFonts w:ascii="宋体" w:hAnsi="宋体"/>
          <w:sz w:val="24"/>
        </w:rPr>
      </w:pPr>
      <w:r>
        <w:rPr>
          <w:rFonts w:hint="eastAsia" w:ascii="宋体" w:hAnsi="宋体"/>
          <w:sz w:val="24"/>
        </w:rPr>
        <w:t>参选方在比选之前须认真阅读比选文件的说明、图表、条件等所有内容，参选方因未能遵循此要求而造成的对本比选文件所要求提供的任何资料、信息、数据的遗漏或任何非针对比选文件要求项目的报价均须自担风险并承担可能导致其比选文件被废弃的后果。</w:t>
      </w:r>
    </w:p>
    <w:p>
      <w:pPr>
        <w:numPr>
          <w:ilvl w:val="0"/>
          <w:numId w:val="9"/>
        </w:numPr>
        <w:spacing w:line="360" w:lineRule="auto"/>
        <w:rPr>
          <w:rFonts w:ascii="宋体" w:hAnsi="宋体"/>
          <w:sz w:val="24"/>
        </w:rPr>
      </w:pPr>
      <w:r>
        <w:rPr>
          <w:rFonts w:hint="eastAsia" w:ascii="宋体" w:hAnsi="宋体"/>
          <w:b/>
          <w:sz w:val="24"/>
        </w:rPr>
        <w:t>比选文件的疑问和修改</w:t>
      </w:r>
      <w:r>
        <w:rPr>
          <w:rFonts w:hint="eastAsia" w:ascii="宋体" w:hAnsi="宋体"/>
          <w:sz w:val="24"/>
        </w:rPr>
        <w:t xml:space="preserve"> </w:t>
      </w:r>
    </w:p>
    <w:p>
      <w:pPr>
        <w:numPr>
          <w:ilvl w:val="0"/>
          <w:numId w:val="10"/>
        </w:numPr>
        <w:tabs>
          <w:tab w:val="left" w:pos="993"/>
          <w:tab w:val="clear" w:pos="1050"/>
        </w:tabs>
        <w:spacing w:line="360" w:lineRule="auto"/>
        <w:ind w:hanging="341"/>
        <w:rPr>
          <w:rFonts w:ascii="宋体" w:hAnsi="宋体"/>
          <w:sz w:val="24"/>
        </w:rPr>
      </w:pPr>
      <w:r>
        <w:rPr>
          <w:rFonts w:hint="eastAsia" w:ascii="宋体" w:hAnsi="宋体"/>
          <w:sz w:val="24"/>
        </w:rPr>
        <w:t>参选方收到比选文件及其它资料后应进行核对，对其中不清楚和有疑问者，参选方应按照第一部分第3条要求的时间内以书面形式向比选人提出。比选人答疑将以书面形式回复给所有参选方，参选方在收到答疑回复后若还有疑问应在比选文件递交截止时间前72小时向比选人提出。</w:t>
      </w:r>
    </w:p>
    <w:p>
      <w:pPr>
        <w:numPr>
          <w:ilvl w:val="0"/>
          <w:numId w:val="10"/>
        </w:numPr>
        <w:tabs>
          <w:tab w:val="left" w:pos="993"/>
          <w:tab w:val="clear" w:pos="1050"/>
        </w:tabs>
        <w:spacing w:line="360" w:lineRule="auto"/>
        <w:ind w:hanging="341"/>
        <w:rPr>
          <w:rFonts w:ascii="宋体" w:hAnsi="宋体"/>
          <w:sz w:val="24"/>
        </w:rPr>
      </w:pPr>
      <w:r>
        <w:rPr>
          <w:rFonts w:hint="eastAsia" w:ascii="宋体" w:hAnsi="宋体"/>
          <w:sz w:val="24"/>
        </w:rPr>
        <w:t>参选方在编制比选文件时，应充分考虑包括补充通知或修订在内的所有内容。</w:t>
      </w:r>
    </w:p>
    <w:p>
      <w:pPr>
        <w:numPr>
          <w:ilvl w:val="0"/>
          <w:numId w:val="10"/>
        </w:numPr>
        <w:tabs>
          <w:tab w:val="left" w:pos="993"/>
          <w:tab w:val="clear" w:pos="1050"/>
        </w:tabs>
        <w:spacing w:line="360" w:lineRule="auto"/>
        <w:ind w:hanging="341"/>
        <w:rPr>
          <w:rFonts w:ascii="宋体" w:hAnsi="宋体"/>
          <w:sz w:val="24"/>
        </w:rPr>
      </w:pPr>
      <w:r>
        <w:rPr>
          <w:rFonts w:hint="eastAsia" w:ascii="宋体" w:hAnsi="宋体"/>
          <w:sz w:val="24"/>
        </w:rPr>
        <w:t xml:space="preserve">在参选文件递交截止日前任何时间，比选人具有可能由于各种原因（无论是比选人提出或有参选方要求比选人澄清比选文件内容而引起的）而修改本比选文件之内容的权利。 </w:t>
      </w:r>
    </w:p>
    <w:p>
      <w:pPr>
        <w:numPr>
          <w:ilvl w:val="0"/>
          <w:numId w:val="10"/>
        </w:numPr>
        <w:tabs>
          <w:tab w:val="left" w:pos="993"/>
          <w:tab w:val="clear" w:pos="1050"/>
        </w:tabs>
        <w:spacing w:line="360" w:lineRule="auto"/>
        <w:ind w:hanging="341"/>
        <w:rPr>
          <w:rFonts w:ascii="宋体" w:hAnsi="宋体"/>
          <w:sz w:val="24"/>
        </w:rPr>
      </w:pPr>
      <w:r>
        <w:rPr>
          <w:rFonts w:hint="eastAsia" w:ascii="宋体" w:hAnsi="宋体"/>
          <w:sz w:val="24"/>
        </w:rPr>
        <w:t>比选文件的修改将会以书面的形式通知所有参选方，同时为了使参选方有充分的时间在比选文件中反映所有比选文件修改的内容，比选人根据需要，可以自行决定延长递交比选文件的截止日期。</w:t>
      </w:r>
    </w:p>
    <w:p>
      <w:pPr>
        <w:numPr>
          <w:ilvl w:val="0"/>
          <w:numId w:val="9"/>
        </w:numPr>
        <w:spacing w:line="360" w:lineRule="auto"/>
        <w:rPr>
          <w:rFonts w:ascii="宋体" w:hAnsi="宋体"/>
          <w:sz w:val="24"/>
        </w:rPr>
      </w:pPr>
      <w:r>
        <w:rPr>
          <w:rFonts w:hint="eastAsia" w:ascii="宋体" w:hAnsi="宋体"/>
          <w:b/>
          <w:sz w:val="24"/>
        </w:rPr>
        <w:t>评选</w:t>
      </w:r>
    </w:p>
    <w:p>
      <w:pPr>
        <w:numPr>
          <w:ilvl w:val="0"/>
          <w:numId w:val="11"/>
        </w:numPr>
        <w:tabs>
          <w:tab w:val="left" w:pos="993"/>
          <w:tab w:val="clear" w:pos="1050"/>
        </w:tabs>
        <w:spacing w:line="360" w:lineRule="auto"/>
        <w:ind w:hanging="341"/>
        <w:rPr>
          <w:rFonts w:ascii="宋体" w:hAnsi="宋体"/>
          <w:sz w:val="24"/>
        </w:rPr>
      </w:pPr>
      <w:r>
        <w:rPr>
          <w:rFonts w:hint="eastAsia" w:ascii="宋体" w:hAnsi="宋体"/>
          <w:sz w:val="24"/>
        </w:rPr>
        <w:t>评选小组：比选人负责组建评选小组。</w:t>
      </w:r>
    </w:p>
    <w:p>
      <w:pPr>
        <w:numPr>
          <w:ilvl w:val="0"/>
          <w:numId w:val="11"/>
        </w:numPr>
        <w:tabs>
          <w:tab w:val="left" w:pos="993"/>
          <w:tab w:val="clear" w:pos="1050"/>
        </w:tabs>
        <w:spacing w:line="360" w:lineRule="auto"/>
        <w:ind w:hanging="341"/>
        <w:rPr>
          <w:rFonts w:ascii="宋体" w:hAnsi="宋体"/>
          <w:sz w:val="24"/>
        </w:rPr>
      </w:pPr>
      <w:r>
        <w:rPr>
          <w:rFonts w:hint="eastAsia" w:ascii="宋体" w:hAnsi="宋体"/>
          <w:sz w:val="24"/>
        </w:rPr>
        <w:t>评选办法：</w:t>
      </w:r>
    </w:p>
    <w:p>
      <w:pPr>
        <w:numPr>
          <w:ilvl w:val="1"/>
          <w:numId w:val="11"/>
        </w:numPr>
        <w:spacing w:line="360" w:lineRule="auto"/>
        <w:rPr>
          <w:rFonts w:ascii="宋体" w:hAnsi="宋体"/>
          <w:sz w:val="24"/>
        </w:rPr>
      </w:pPr>
      <w:r>
        <w:rPr>
          <w:rFonts w:hint="eastAsia" w:ascii="宋体" w:hAnsi="宋体"/>
          <w:sz w:val="24"/>
        </w:rPr>
        <w:t>本次评选采用综合评估法评选。</w:t>
      </w:r>
    </w:p>
    <w:p>
      <w:pPr>
        <w:numPr>
          <w:ilvl w:val="1"/>
          <w:numId w:val="11"/>
        </w:numPr>
        <w:spacing w:line="360" w:lineRule="auto"/>
        <w:rPr>
          <w:rFonts w:ascii="宋体" w:hAnsi="宋体"/>
          <w:sz w:val="24"/>
        </w:rPr>
      </w:pPr>
      <w:r>
        <w:rPr>
          <w:rFonts w:hint="eastAsia" w:ascii="宋体" w:hAnsi="宋体"/>
          <w:sz w:val="24"/>
        </w:rPr>
        <w:t>评选时参选方按抽签顺序依次进行方案汇报。</w:t>
      </w:r>
    </w:p>
    <w:p>
      <w:pPr>
        <w:numPr>
          <w:ilvl w:val="1"/>
          <w:numId w:val="11"/>
        </w:numPr>
        <w:spacing w:line="360" w:lineRule="auto"/>
        <w:rPr>
          <w:rFonts w:ascii="宋体" w:hAnsi="宋体"/>
          <w:sz w:val="24"/>
        </w:rPr>
      </w:pPr>
      <w:r>
        <w:rPr>
          <w:rFonts w:hint="eastAsia" w:ascii="宋体" w:hAnsi="宋体"/>
          <w:sz w:val="24"/>
        </w:rPr>
        <w:t>评选小组成员按评分标准对参选方案分别打分，最后按汇总得分由高到低排序，推荐中选候选人。</w:t>
      </w:r>
    </w:p>
    <w:p>
      <w:pPr>
        <w:numPr>
          <w:ilvl w:val="1"/>
          <w:numId w:val="11"/>
        </w:numPr>
        <w:spacing w:line="360" w:lineRule="auto"/>
        <w:rPr>
          <w:rFonts w:ascii="宋体" w:hAnsi="宋体"/>
          <w:sz w:val="24"/>
        </w:rPr>
      </w:pPr>
      <w:r>
        <w:rPr>
          <w:rFonts w:hint="eastAsia" w:ascii="宋体" w:hAnsi="宋体"/>
          <w:sz w:val="24"/>
        </w:rPr>
        <w:t>在评选过程中，评选小组可以以书面或口头形式要求参选方就参选文件中含义不明确的内容进行书面说明并提供相关材料。</w:t>
      </w:r>
    </w:p>
    <w:p>
      <w:pPr>
        <w:pStyle w:val="10"/>
        <w:numPr>
          <w:ilvl w:val="0"/>
          <w:numId w:val="12"/>
        </w:numPr>
        <w:tabs>
          <w:tab w:val="left" w:pos="709"/>
        </w:tabs>
        <w:spacing w:line="360" w:lineRule="auto"/>
        <w:ind w:firstLineChars="0"/>
        <w:rPr>
          <w:rFonts w:ascii="宋体" w:hAnsi="宋体"/>
          <w:sz w:val="24"/>
        </w:rPr>
      </w:pPr>
      <w:r>
        <w:rPr>
          <w:rFonts w:hint="eastAsia" w:ascii="宋体" w:hAnsi="宋体"/>
          <w:sz w:val="24"/>
        </w:rPr>
        <w:t>评选标准：见附件2《“园保贷”资金池合作银行比选标准评分表》。</w:t>
      </w:r>
    </w:p>
    <w:p>
      <w:pPr>
        <w:pStyle w:val="10"/>
        <w:spacing w:line="360" w:lineRule="auto"/>
        <w:ind w:left="240" w:firstLine="480"/>
        <w:rPr>
          <w:rFonts w:ascii="宋体" w:hAnsi="宋体"/>
          <w:sz w:val="24"/>
        </w:rPr>
      </w:pPr>
      <w:r>
        <w:rPr>
          <w:rFonts w:ascii="宋体" w:hAnsi="宋体"/>
          <w:sz w:val="24"/>
        </w:rPr>
        <w:t>4)</w:t>
      </w:r>
      <w:r>
        <w:rPr>
          <w:rFonts w:hint="eastAsia" w:ascii="宋体" w:hAnsi="宋体"/>
          <w:sz w:val="24"/>
        </w:rPr>
        <w:t>中选人确定后，比选人有权不对未中选人就评选过程以及未能中选的原因作出任何解释。未中选人不得向评选小组人员或其他人员索问评选过程的情况和材料。</w:t>
      </w:r>
    </w:p>
    <w:p>
      <w:pPr>
        <w:spacing w:line="360" w:lineRule="auto"/>
        <w:ind w:firstLine="723" w:firstLineChars="300"/>
        <w:rPr>
          <w:rFonts w:ascii="宋体" w:hAnsi="宋体"/>
          <w:sz w:val="24"/>
        </w:rPr>
      </w:pPr>
      <w:r>
        <w:rPr>
          <w:rFonts w:hint="eastAsia" w:ascii="宋体" w:hAnsi="宋体"/>
          <w:b/>
          <w:sz w:val="24"/>
          <w:u w:val="single"/>
        </w:rPr>
        <w:t>5)各参选方应保证所提交的业绩资料真实有效，如发现提交虚假资料，比选人有权取消其参与参选及中选资格</w:t>
      </w:r>
      <w:r>
        <w:rPr>
          <w:rFonts w:hint="eastAsia" w:ascii="宋体" w:hAnsi="宋体"/>
          <w:sz w:val="24"/>
        </w:rPr>
        <w:t>。</w:t>
      </w:r>
    </w:p>
    <w:p>
      <w:pPr>
        <w:pStyle w:val="10"/>
        <w:spacing w:line="360" w:lineRule="auto"/>
        <w:ind w:left="1830" w:firstLine="0" w:firstLineChars="0"/>
        <w:rPr>
          <w:rFonts w:ascii="宋体" w:hAnsi="宋体"/>
          <w:sz w:val="24"/>
        </w:rPr>
      </w:pPr>
    </w:p>
    <w:p>
      <w:pPr>
        <w:tabs>
          <w:tab w:val="left" w:pos="2880"/>
          <w:tab w:val="center" w:pos="4153"/>
        </w:tabs>
        <w:spacing w:line="360" w:lineRule="auto"/>
        <w:jc w:val="left"/>
        <w:rPr>
          <w:rFonts w:ascii="宋体" w:hAnsi="宋体"/>
          <w:b/>
          <w:sz w:val="24"/>
        </w:rPr>
      </w:pPr>
      <w:r>
        <w:rPr>
          <w:rFonts w:hint="eastAsia" w:ascii="宋体" w:hAnsi="宋体"/>
          <w:b/>
          <w:sz w:val="24"/>
        </w:rPr>
        <w:t>第五部分 注意事项</w:t>
      </w:r>
    </w:p>
    <w:p>
      <w:pPr>
        <w:numPr>
          <w:ilvl w:val="0"/>
          <w:numId w:val="13"/>
        </w:numPr>
        <w:spacing w:line="360" w:lineRule="auto"/>
        <w:rPr>
          <w:rFonts w:ascii="宋体" w:hAnsi="宋体"/>
          <w:sz w:val="24"/>
        </w:rPr>
      </w:pPr>
      <w:r>
        <w:rPr>
          <w:rFonts w:hint="eastAsia" w:ascii="宋体" w:hAnsi="宋体"/>
          <w:sz w:val="24"/>
        </w:rPr>
        <w:t>保密</w:t>
      </w:r>
    </w:p>
    <w:p>
      <w:pPr>
        <w:numPr>
          <w:ilvl w:val="0"/>
          <w:numId w:val="14"/>
        </w:numPr>
        <w:tabs>
          <w:tab w:val="left" w:pos="993"/>
          <w:tab w:val="clear" w:pos="1050"/>
        </w:tabs>
        <w:spacing w:line="360" w:lineRule="auto"/>
        <w:ind w:hanging="341"/>
        <w:rPr>
          <w:rFonts w:ascii="宋体" w:hAnsi="宋体"/>
          <w:sz w:val="24"/>
        </w:rPr>
      </w:pPr>
      <w:r>
        <w:rPr>
          <w:rFonts w:hint="eastAsia" w:ascii="宋体" w:hAnsi="宋体"/>
          <w:sz w:val="24"/>
        </w:rPr>
        <w:t xml:space="preserve">比选人在评选后直至评选结果公布之前，所有有关比选的初审、评估、比较等内容不得透露给任何参选方或其他与评标、定标无关的第三方。 </w:t>
      </w:r>
    </w:p>
    <w:p>
      <w:pPr>
        <w:numPr>
          <w:ilvl w:val="0"/>
          <w:numId w:val="14"/>
        </w:numPr>
        <w:tabs>
          <w:tab w:val="left" w:pos="993"/>
          <w:tab w:val="clear" w:pos="1050"/>
        </w:tabs>
        <w:spacing w:line="360" w:lineRule="auto"/>
        <w:ind w:hanging="341"/>
        <w:rPr>
          <w:rFonts w:ascii="宋体" w:hAnsi="宋体"/>
          <w:sz w:val="24"/>
        </w:rPr>
      </w:pPr>
      <w:r>
        <w:rPr>
          <w:rFonts w:hint="eastAsia" w:ascii="宋体" w:hAnsi="宋体"/>
          <w:sz w:val="24"/>
        </w:rPr>
        <w:t>无论中选与否，参选方均不得将在参与比选过程中了解到的关于比选人相关信息传递给第三方，否则比选人保留追究泄密者法律责任的权利。</w:t>
      </w:r>
    </w:p>
    <w:p>
      <w:pPr>
        <w:numPr>
          <w:ilvl w:val="0"/>
          <w:numId w:val="13"/>
        </w:numPr>
        <w:spacing w:line="360" w:lineRule="auto"/>
        <w:rPr>
          <w:rFonts w:ascii="宋体" w:hAnsi="宋体"/>
          <w:sz w:val="24"/>
        </w:rPr>
      </w:pPr>
      <w:r>
        <w:rPr>
          <w:rFonts w:hint="eastAsia" w:ascii="宋体" w:hAnsi="宋体"/>
          <w:sz w:val="24"/>
        </w:rPr>
        <w:t>参选方承诺，如比选人与参选方未就合作事宜达成一致意见并形成协议，比选人对此不作任何经济补偿。</w:t>
      </w:r>
    </w:p>
    <w:p>
      <w:pPr>
        <w:numPr>
          <w:ilvl w:val="0"/>
          <w:numId w:val="13"/>
        </w:numPr>
        <w:spacing w:line="360" w:lineRule="auto"/>
        <w:rPr>
          <w:rFonts w:ascii="宋体" w:hAnsi="宋体"/>
          <w:sz w:val="24"/>
        </w:rPr>
      </w:pPr>
      <w:r>
        <w:rPr>
          <w:rFonts w:hint="eastAsia" w:ascii="宋体" w:hAnsi="宋体"/>
          <w:sz w:val="24"/>
        </w:rPr>
        <w:t>比选有效期：参选文件在本须知规定的比选截止日期之后20个工作日内有效。</w:t>
      </w:r>
    </w:p>
    <w:p>
      <w:pPr>
        <w:pStyle w:val="11"/>
        <w:spacing w:line="360" w:lineRule="auto"/>
        <w:ind w:left="113" w:firstLine="0" w:firstLineChars="0"/>
        <w:rPr>
          <w:rFonts w:ascii="宋体" w:hAnsi="宋体"/>
          <w:sz w:val="24"/>
        </w:rPr>
      </w:pPr>
    </w:p>
    <w:p>
      <w:pPr>
        <w:pStyle w:val="11"/>
        <w:spacing w:line="360" w:lineRule="auto"/>
        <w:ind w:left="113" w:firstLine="0" w:firstLineChars="0"/>
        <w:rPr>
          <w:rFonts w:ascii="宋体" w:hAnsi="宋体"/>
          <w:sz w:val="24"/>
        </w:rPr>
      </w:pPr>
      <w:r>
        <w:rPr>
          <w:rFonts w:hint="eastAsia" w:ascii="宋体" w:hAnsi="宋体"/>
          <w:sz w:val="24"/>
        </w:rPr>
        <w:t>附件</w:t>
      </w:r>
      <w:r>
        <w:rPr>
          <w:rFonts w:ascii="宋体" w:hAnsi="宋体"/>
          <w:sz w:val="24"/>
        </w:rPr>
        <w:t>1</w:t>
      </w:r>
      <w:r>
        <w:rPr>
          <w:rFonts w:hint="eastAsia" w:ascii="宋体" w:hAnsi="宋体"/>
          <w:sz w:val="24"/>
        </w:rPr>
        <w:t>：《“园保贷”资金池合作银行比选标准评分表》</w:t>
      </w:r>
    </w:p>
    <w:p>
      <w:pPr>
        <w:spacing w:line="360" w:lineRule="auto"/>
        <w:ind w:right="84" w:firstLine="5220" w:firstLineChars="2175"/>
        <w:rPr>
          <w:rFonts w:ascii="宋体" w:hAnsi="宋体"/>
          <w:sz w:val="24"/>
        </w:rPr>
      </w:pPr>
    </w:p>
    <w:p>
      <w:pPr>
        <w:spacing w:line="360" w:lineRule="auto"/>
        <w:ind w:right="564" w:firstLine="3480" w:firstLineChars="1450"/>
        <w:rPr>
          <w:rFonts w:ascii="宋体" w:hAnsi="宋体"/>
          <w:sz w:val="24"/>
        </w:rPr>
      </w:pPr>
      <w:r>
        <w:rPr>
          <w:rFonts w:hint="eastAsia" w:ascii="宋体" w:hAnsi="宋体"/>
          <w:sz w:val="24"/>
        </w:rPr>
        <w:t>比选人：四川工创企业管理服务有限公司</w:t>
      </w:r>
    </w:p>
    <w:p>
      <w:pPr>
        <w:spacing w:line="360" w:lineRule="auto"/>
        <w:jc w:val="center"/>
        <w:rPr>
          <w:rFonts w:ascii="宋体" w:hAnsi="宋体"/>
          <w:sz w:val="24"/>
        </w:rPr>
      </w:pPr>
      <w:r>
        <w:rPr>
          <w:rFonts w:ascii="宋体" w:hAnsi="宋体"/>
          <w:sz w:val="24"/>
        </w:rPr>
        <w:t xml:space="preserve">                     2020年</w:t>
      </w:r>
      <w:r>
        <w:rPr>
          <w:rFonts w:hint="eastAsia" w:ascii="宋体" w:hAnsi="宋体"/>
          <w:sz w:val="24"/>
          <w:lang w:val="en-US" w:eastAsia="zh-CN"/>
        </w:rPr>
        <w:t>8</w:t>
      </w:r>
      <w:r>
        <w:rPr>
          <w:rFonts w:ascii="宋体" w:hAnsi="宋体"/>
          <w:sz w:val="24"/>
        </w:rPr>
        <w:t>月</w:t>
      </w:r>
      <w:r>
        <w:rPr>
          <w:rFonts w:hint="eastAsia" w:ascii="宋体" w:hAnsi="宋体"/>
          <w:sz w:val="24"/>
          <w:lang w:val="en-US" w:eastAsia="zh-CN"/>
        </w:rPr>
        <w:t>10</w:t>
      </w:r>
      <w:r>
        <w:rPr>
          <w:rFonts w:ascii="宋体" w:hAnsi="宋体"/>
          <w:sz w:val="24"/>
        </w:rPr>
        <w:t>日</w:t>
      </w:r>
    </w:p>
    <w:p>
      <w:pPr>
        <w:spacing w:line="360" w:lineRule="auto"/>
        <w:rPr>
          <w:rFonts w:ascii="宋体" w:hAnsi="宋体"/>
          <w:sz w:val="24"/>
        </w:rPr>
      </w:pPr>
    </w:p>
    <w:p>
      <w:pPr>
        <w:spacing w:line="360" w:lineRule="auto"/>
        <w:jc w:val="center"/>
        <w:rPr>
          <w:rFonts w:ascii="宋体" w:hAnsi="宋体"/>
        </w:rPr>
      </w:pPr>
    </w:p>
    <w:p>
      <w:pPr>
        <w:spacing w:line="360" w:lineRule="auto"/>
        <w:jc w:val="center"/>
        <w:rPr>
          <w:rFonts w:ascii="宋体" w:hAnsi="宋体"/>
        </w:rPr>
      </w:pPr>
    </w:p>
    <w:p>
      <w:pPr>
        <w:jc w:val="left"/>
        <w:rPr>
          <w:rFonts w:ascii="宋体" w:hAnsi="宋体"/>
          <w:b/>
          <w:bCs/>
          <w:sz w:val="32"/>
          <w:szCs w:val="32"/>
        </w:rPr>
      </w:pPr>
      <w:r>
        <w:rPr>
          <w:rFonts w:hint="eastAsia" w:ascii="宋体" w:hAnsi="宋体"/>
          <w:sz w:val="24"/>
        </w:rPr>
        <w:t>附件</w:t>
      </w:r>
      <w:r>
        <w:rPr>
          <w:rFonts w:ascii="宋体" w:hAnsi="宋体"/>
          <w:sz w:val="24"/>
        </w:rPr>
        <w:t>1</w:t>
      </w:r>
    </w:p>
    <w:tbl>
      <w:tblPr>
        <w:tblStyle w:val="5"/>
        <w:tblW w:w="0" w:type="auto"/>
        <w:tblInd w:w="15" w:type="dxa"/>
        <w:tblLayout w:type="autofit"/>
        <w:tblCellMar>
          <w:top w:w="0" w:type="dxa"/>
          <w:left w:w="108" w:type="dxa"/>
          <w:bottom w:w="0" w:type="dxa"/>
          <w:right w:w="108" w:type="dxa"/>
        </w:tblCellMar>
      </w:tblPr>
      <w:tblGrid>
        <w:gridCol w:w="658"/>
        <w:gridCol w:w="1763"/>
        <w:gridCol w:w="658"/>
        <w:gridCol w:w="5195"/>
        <w:gridCol w:w="658"/>
      </w:tblGrid>
      <w:tr>
        <w:tblPrEx>
          <w:tblCellMar>
            <w:top w:w="0" w:type="dxa"/>
            <w:left w:w="108" w:type="dxa"/>
            <w:bottom w:w="0" w:type="dxa"/>
            <w:right w:w="108" w:type="dxa"/>
          </w:tblCellMar>
        </w:tblPrEx>
        <w:trPr>
          <w:trHeight w:val="810" w:hRule="atLeast"/>
        </w:trPr>
        <w:tc>
          <w:tcPr>
            <w:tcW w:w="0" w:type="auto"/>
            <w:gridSpan w:val="5"/>
            <w:tcBorders>
              <w:top w:val="nil"/>
              <w:left w:val="nil"/>
              <w:bottom w:val="nil"/>
              <w:right w:val="nil"/>
            </w:tcBorders>
            <w:shd w:val="clear" w:color="auto" w:fill="auto"/>
            <w:noWrap/>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“园保贷”项目合作银行比选标准评分表</w:t>
            </w:r>
          </w:p>
        </w:tc>
      </w:tr>
      <w:tr>
        <w:tblPrEx>
          <w:tblCellMar>
            <w:top w:w="0" w:type="dxa"/>
            <w:left w:w="108" w:type="dxa"/>
            <w:bottom w:w="0" w:type="dxa"/>
            <w:right w:w="108" w:type="dxa"/>
          </w:tblCellMar>
        </w:tblPrEx>
        <w:trPr>
          <w:trHeight w:val="383" w:hRule="atLeast"/>
        </w:trPr>
        <w:tc>
          <w:tcPr>
            <w:tcW w:w="0" w:type="auto"/>
            <w:gridSpan w:val="5"/>
            <w:tcBorders>
              <w:top w:val="nil"/>
              <w:left w:val="nil"/>
              <w:bottom w:val="single" w:color="auto" w:sz="4" w:space="0"/>
              <w:right w:val="nil"/>
            </w:tcBorders>
            <w:shd w:val="clear" w:color="auto" w:fill="auto"/>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合作银行名称：                                     时间：</w:t>
            </w:r>
            <w:r>
              <w:rPr>
                <w:rFonts w:ascii="仿宋" w:hAnsi="仿宋" w:eastAsia="仿宋" w:cs="宋体"/>
                <w:b/>
                <w:bCs/>
                <w:kern w:val="0"/>
                <w:sz w:val="24"/>
              </w:rPr>
              <w:t xml:space="preserve"> </w:t>
            </w:r>
            <w:r>
              <w:rPr>
                <w:rFonts w:hint="eastAsia" w:ascii="仿宋" w:hAnsi="仿宋" w:eastAsia="仿宋" w:cs="宋体"/>
                <w:b/>
                <w:bCs/>
                <w:kern w:val="0"/>
                <w:sz w:val="24"/>
              </w:rPr>
              <w:t>年</w:t>
            </w:r>
            <w:r>
              <w:rPr>
                <w:rFonts w:ascii="仿宋" w:hAnsi="仿宋" w:eastAsia="仿宋" w:cs="宋体"/>
                <w:b/>
                <w:bCs/>
                <w:kern w:val="0"/>
                <w:sz w:val="24"/>
              </w:rPr>
              <w:t xml:space="preserve"> </w:t>
            </w:r>
            <w:r>
              <w:rPr>
                <w:rFonts w:hint="eastAsia" w:ascii="仿宋" w:hAnsi="仿宋" w:eastAsia="仿宋" w:cs="宋体"/>
                <w:b/>
                <w:bCs/>
                <w:kern w:val="0"/>
                <w:sz w:val="24"/>
              </w:rPr>
              <w:t>月</w:t>
            </w:r>
            <w:r>
              <w:rPr>
                <w:rFonts w:ascii="仿宋" w:hAnsi="仿宋" w:eastAsia="仿宋" w:cs="宋体"/>
                <w:b/>
                <w:bCs/>
                <w:kern w:val="0"/>
                <w:sz w:val="24"/>
              </w:rPr>
              <w:t xml:space="preserve"> </w:t>
            </w:r>
            <w:r>
              <w:rPr>
                <w:rFonts w:hint="eastAsia" w:ascii="仿宋" w:hAnsi="仿宋" w:eastAsia="仿宋" w:cs="宋体"/>
                <w:b/>
                <w:bCs/>
                <w:kern w:val="0"/>
                <w:sz w:val="24"/>
              </w:rPr>
              <w:t>日</w:t>
            </w:r>
          </w:p>
        </w:tc>
      </w:tr>
      <w:tr>
        <w:tblPrEx>
          <w:tblCellMar>
            <w:top w:w="0" w:type="dxa"/>
            <w:left w:w="108" w:type="dxa"/>
            <w:bottom w:w="0" w:type="dxa"/>
            <w:right w:w="108" w:type="dxa"/>
          </w:tblCellMar>
        </w:tblPrEx>
        <w:trPr>
          <w:trHeight w:val="589"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序号</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比选条件</w:t>
            </w:r>
          </w:p>
        </w:tc>
        <w:tc>
          <w:tcPr>
            <w:tcW w:w="0" w:type="auto"/>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分值</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比选标准</w:t>
            </w:r>
          </w:p>
        </w:tc>
        <w:tc>
          <w:tcPr>
            <w:tcW w:w="0" w:type="auto"/>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得分</w:t>
            </w:r>
          </w:p>
        </w:tc>
      </w:tr>
      <w:tr>
        <w:tblPrEx>
          <w:tblCellMar>
            <w:top w:w="0" w:type="dxa"/>
            <w:left w:w="108" w:type="dxa"/>
            <w:bottom w:w="0" w:type="dxa"/>
            <w:right w:w="108" w:type="dxa"/>
          </w:tblCellMar>
        </w:tblPrEx>
        <w:trPr>
          <w:trHeight w:val="6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贷款额度及成本</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0" w:type="auto"/>
            <w:tcBorders>
              <w:top w:val="nil"/>
              <w:left w:val="nil"/>
              <w:bottom w:val="single" w:color="auto" w:sz="4" w:space="0"/>
              <w:right w:val="nil"/>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贷款金额最高可放大至1</w:t>
            </w:r>
            <w:r>
              <w:rPr>
                <w:rFonts w:ascii="仿宋" w:hAnsi="仿宋" w:eastAsia="仿宋" w:cs="宋体"/>
                <w:kern w:val="0"/>
                <w:sz w:val="22"/>
                <w:szCs w:val="22"/>
              </w:rPr>
              <w:t>5</w:t>
            </w:r>
            <w:r>
              <w:rPr>
                <w:rFonts w:hint="eastAsia" w:ascii="仿宋" w:hAnsi="仿宋" w:eastAsia="仿宋" w:cs="宋体"/>
                <w:kern w:val="0"/>
                <w:sz w:val="22"/>
                <w:szCs w:val="22"/>
              </w:rPr>
              <w:t>00万元，贷款期限为12个月，贷款利率不超过人行同期基准利率上浮20%。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84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审批流程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0" w:type="auto"/>
            <w:tcBorders>
              <w:top w:val="nil"/>
              <w:left w:val="nil"/>
              <w:bottom w:val="single" w:color="auto" w:sz="4" w:space="0"/>
              <w:right w:val="nil"/>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合作银行针对“园保贷”开辟绿色通道，提高审批进程，指定各合作园区内分支机构专营“园保贷”产品，固定机构和人员开展相关工作。</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94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放款速度</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0" w:type="auto"/>
            <w:tcBorders>
              <w:top w:val="nil"/>
              <w:left w:val="nil"/>
              <w:bottom w:val="single" w:color="auto" w:sz="4" w:space="0"/>
              <w:right w:val="nil"/>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针对“园保贷”项目开辟专用审贷通道，享受优先审批权。指定专人负责跟踪贷款审批进程，并实时向管理机构反馈审批进程。在收到管理机构提交的推荐函，7个工作日内完成信贷审核工作，最终放款不超过20天。</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抵质押物范围</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0" w:type="auto"/>
            <w:tcBorders>
              <w:top w:val="nil"/>
              <w:left w:val="nil"/>
              <w:bottom w:val="single" w:color="auto" w:sz="4" w:space="0"/>
              <w:right w:val="nil"/>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可接受企业提供的抵质押物包括除固定资产、机器设备而外，适当接受股权、知识产权、应收账款、出口退税单、合同、存货等。</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5</w:t>
            </w:r>
          </w:p>
        </w:tc>
        <w:tc>
          <w:tcPr>
            <w:tcW w:w="0" w:type="auto"/>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审批权限</w:t>
            </w:r>
          </w:p>
        </w:tc>
        <w:tc>
          <w:tcPr>
            <w:tcW w:w="0" w:type="auto"/>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0" w:type="auto"/>
            <w:tcBorders>
              <w:top w:val="nil"/>
              <w:left w:val="nil"/>
              <w:bottom w:val="single" w:color="auto" w:sz="4" w:space="0"/>
              <w:right w:val="nil"/>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下属分支机构在500万元以上有自主审批权限，能自主发放贷款。</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6</w:t>
            </w:r>
          </w:p>
        </w:tc>
        <w:tc>
          <w:tcPr>
            <w:tcW w:w="0" w:type="auto"/>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覆盖区域</w:t>
            </w:r>
          </w:p>
        </w:tc>
        <w:tc>
          <w:tcPr>
            <w:tcW w:w="0" w:type="auto"/>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w:t>
            </w:r>
          </w:p>
        </w:tc>
        <w:tc>
          <w:tcPr>
            <w:tcW w:w="0" w:type="auto"/>
            <w:tcBorders>
              <w:top w:val="nil"/>
              <w:left w:val="nil"/>
              <w:bottom w:val="single" w:color="auto" w:sz="4" w:space="0"/>
              <w:right w:val="nil"/>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合作银行在项目实施园区有一定的业务基础，对项目实施园区有专营业务网点开展业务。</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7</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业务储备</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0" w:type="auto"/>
            <w:tcBorders>
              <w:top w:val="nil"/>
              <w:left w:val="nil"/>
              <w:bottom w:val="single" w:color="auto" w:sz="4" w:space="0"/>
              <w:right w:val="nil"/>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合作银行在项目实施园区有充足的业务储备基础，能够对存量客户进行“园保贷”产品积极推广和有效转化。</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84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业务能力</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w:t>
            </w:r>
          </w:p>
        </w:tc>
        <w:tc>
          <w:tcPr>
            <w:tcW w:w="0" w:type="auto"/>
            <w:tcBorders>
              <w:top w:val="nil"/>
              <w:left w:val="nil"/>
              <w:bottom w:val="single" w:color="auto" w:sz="4" w:space="0"/>
              <w:right w:val="nil"/>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具有专业化团队开展“园保贷”项目推广，团队业务拓展能力较强，能有效与园区管委会和管理公司沟通。</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84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9</w:t>
            </w:r>
          </w:p>
        </w:tc>
        <w:tc>
          <w:tcPr>
            <w:tcW w:w="0" w:type="auto"/>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管理体系</w:t>
            </w:r>
          </w:p>
        </w:tc>
        <w:tc>
          <w:tcPr>
            <w:tcW w:w="0" w:type="auto"/>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0" w:type="auto"/>
            <w:tcBorders>
              <w:top w:val="nil"/>
              <w:left w:val="nil"/>
              <w:bottom w:val="single" w:color="auto" w:sz="4" w:space="0"/>
              <w:right w:val="nil"/>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省分行或总行针对“园保贷”项目建立考核机制，对经办支行和人员下达业务目标，具有较完善的管理体制机制。</w:t>
            </w:r>
          </w:p>
        </w:tc>
        <w:tc>
          <w:tcPr>
            <w:tcW w:w="0" w:type="auto"/>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05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10</w:t>
            </w:r>
          </w:p>
        </w:tc>
        <w:tc>
          <w:tcPr>
            <w:tcW w:w="0" w:type="auto"/>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风控能力</w:t>
            </w:r>
          </w:p>
        </w:tc>
        <w:tc>
          <w:tcPr>
            <w:tcW w:w="0" w:type="auto"/>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0" w:type="auto"/>
            <w:tcBorders>
              <w:top w:val="nil"/>
              <w:left w:val="nil"/>
              <w:bottom w:val="single" w:color="auto" w:sz="4" w:space="0"/>
              <w:right w:val="nil"/>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合作银行目前不良率较低；合作银行建立了完善详尽的风险控制体系，风险把控能力较强；能定期与园区管委会经办人员进行贷后监管，确保全方位动态防范风险，有较强的风险容忍度。</w:t>
            </w:r>
          </w:p>
        </w:tc>
        <w:tc>
          <w:tcPr>
            <w:tcW w:w="0" w:type="auto"/>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6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11</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风险补偿</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0" w:type="auto"/>
            <w:tcBorders>
              <w:top w:val="nil"/>
              <w:left w:val="nil"/>
              <w:bottom w:val="single" w:color="auto" w:sz="4" w:space="0"/>
              <w:right w:val="nil"/>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当企业贷款发生逾期，给予企业3个月还款宽限期，3个月后企业无力偿还本息，用财政补偿资金池资金先行补偿贷款本金和利息。</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总   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100</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Cs w:val="21"/>
              </w:rPr>
            </w:pPr>
            <w:r>
              <w:rPr>
                <w:rFonts w:hint="eastAsia" w:ascii="仿宋" w:hAnsi="仿宋" w:eastAsia="仿宋" w:cs="宋体"/>
                <w:b/>
                <w:bCs/>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845" w:hRule="atLeast"/>
        </w:trPr>
        <w:tc>
          <w:tcPr>
            <w:tcW w:w="0" w:type="auto"/>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b/>
                <w:bCs/>
                <w:kern w:val="0"/>
                <w:sz w:val="24"/>
              </w:rPr>
              <w:t>比选评审专家意见：</w:t>
            </w:r>
            <w:r>
              <w:rPr>
                <w:rFonts w:hint="eastAsia" w:ascii="宋体" w:hAnsi="宋体" w:cs="宋体"/>
                <w:kern w:val="0"/>
                <w:sz w:val="24"/>
              </w:rPr>
              <w:t xml:space="preserve">      </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                                     专 家 签 名：                                                                     </w:t>
            </w:r>
          </w:p>
        </w:tc>
      </w:tr>
    </w:tbl>
    <w:p>
      <w:pPr>
        <w:jc w:val="center"/>
        <w:rPr>
          <w:rFonts w:ascii="宋体" w:hAnsi="宋体"/>
          <w:b/>
          <w:bCs/>
          <w:sz w:val="32"/>
          <w:szCs w:val="32"/>
        </w:rPr>
      </w:pPr>
    </w:p>
    <w:p>
      <w:pPr>
        <w:jc w:val="center"/>
        <w:rPr>
          <w:rFonts w:ascii="宋体" w:hAnsi="宋体"/>
          <w:b/>
          <w:bCs/>
          <w:sz w:val="32"/>
          <w:szCs w:val="32"/>
        </w:rPr>
      </w:pPr>
    </w:p>
    <w:p/>
    <w:sectPr>
      <w:headerReference r:id="rId3" w:type="default"/>
      <w:footerReference r:id="rId4" w:type="default"/>
      <w:footerReference r:id="rId5" w:type="even"/>
      <w:pgSz w:w="11907" w:h="16840"/>
      <w:pgMar w:top="1440" w:right="1588" w:bottom="1440" w:left="1588" w:header="851" w:footer="992" w:gutter="0"/>
      <w:pgBorders w:display="firstPage" w:offsetFrom="page">
        <w:top w:val="single" w:color="auto" w:sz="4" w:space="24"/>
        <w:left w:val="single" w:color="auto" w:sz="4" w:space="24"/>
        <w:bottom w:val="single" w:color="auto" w:sz="4" w:space="24"/>
        <w:right w:val="single" w:color="auto" w:sz="4" w:space="24"/>
      </w:pgBorders>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7531"/>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tabs>
        <w:tab w:val="right" w:pos="8100"/>
        <w:tab w:val="clear" w:pos="8306"/>
      </w:tabs>
      <w:ind w:right="-72"/>
      <w:jc w:val="center"/>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ascii="黑体" w:eastAsia="黑体"/>
        <w:color w:val="333333"/>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E60"/>
    <w:multiLevelType w:val="multilevel"/>
    <w:tmpl w:val="003F2E60"/>
    <w:lvl w:ilvl="0" w:tentative="0">
      <w:start w:val="3"/>
      <w:numFmt w:val="decimal"/>
      <w:lvlText w:val="%1）"/>
      <w:lvlJc w:val="left"/>
      <w:pPr>
        <w:ind w:left="1069" w:hanging="36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
    <w:nsid w:val="0D2D1747"/>
    <w:multiLevelType w:val="multilevel"/>
    <w:tmpl w:val="0D2D1747"/>
    <w:lvl w:ilvl="0" w:tentative="0">
      <w:start w:val="1"/>
      <w:numFmt w:val="decimal"/>
      <w:lvlText w:val="%1)"/>
      <w:lvlJc w:val="left"/>
      <w:pPr>
        <w:tabs>
          <w:tab w:val="left" w:pos="1050"/>
        </w:tabs>
        <w:ind w:left="1050" w:hanging="420"/>
      </w:pPr>
    </w:lvl>
    <w:lvl w:ilvl="1" w:tentative="0">
      <w:start w:val="1"/>
      <w:numFmt w:val="lowerLetter"/>
      <w:lvlText w:val="%2)"/>
      <w:lvlJc w:val="left"/>
      <w:pPr>
        <w:tabs>
          <w:tab w:val="left" w:pos="1470"/>
        </w:tabs>
        <w:ind w:left="1470" w:hanging="420"/>
      </w:pPr>
    </w:lvl>
    <w:lvl w:ilvl="2" w:tentative="0">
      <w:start w:val="4"/>
      <w:numFmt w:val="decimal"/>
      <w:lvlText w:val="%3）"/>
      <w:lvlJc w:val="left"/>
      <w:pPr>
        <w:ind w:left="1830" w:hanging="360"/>
      </w:pPr>
      <w:rPr>
        <w:rFonts w:hint="default"/>
      </w:r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
    <w:nsid w:val="0D570347"/>
    <w:multiLevelType w:val="multilevel"/>
    <w:tmpl w:val="0D570347"/>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1940204"/>
    <w:multiLevelType w:val="multilevel"/>
    <w:tmpl w:val="11940204"/>
    <w:lvl w:ilvl="0" w:tentative="0">
      <w:start w:val="1"/>
      <w:numFmt w:val="decimal"/>
      <w:lvlText w:val="%1)"/>
      <w:lvlJc w:val="left"/>
      <w:pPr>
        <w:tabs>
          <w:tab w:val="left" w:pos="1050"/>
        </w:tabs>
        <w:ind w:left="1050" w:hanging="420"/>
      </w:p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4">
    <w:nsid w:val="19AC1345"/>
    <w:multiLevelType w:val="multilevel"/>
    <w:tmpl w:val="19AC1345"/>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F443803"/>
    <w:multiLevelType w:val="multilevel"/>
    <w:tmpl w:val="1F443803"/>
    <w:lvl w:ilvl="0" w:tentative="0">
      <w:start w:val="1"/>
      <w:numFmt w:val="decimal"/>
      <w:lvlText w:val="%1、"/>
      <w:lvlJc w:val="left"/>
      <w:pPr>
        <w:tabs>
          <w:tab w:val="left" w:pos="227"/>
        </w:tabs>
        <w:ind w:left="113" w:hanging="113"/>
      </w:pPr>
      <w:rPr>
        <w:rFonts w:hint="default"/>
        <w:b w:val="0"/>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7093D13"/>
    <w:multiLevelType w:val="multilevel"/>
    <w:tmpl w:val="27093D13"/>
    <w:lvl w:ilvl="0" w:tentative="0">
      <w:start w:val="1"/>
      <w:numFmt w:val="decimal"/>
      <w:lvlText w:val="%1、"/>
      <w:lvlJc w:val="left"/>
      <w:pPr>
        <w:tabs>
          <w:tab w:val="left" w:pos="227"/>
        </w:tabs>
        <w:ind w:left="113" w:hanging="113"/>
      </w:pPr>
      <w:rPr>
        <w:rFonts w:hint="default"/>
        <w:b w:val="0"/>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FFF7C31"/>
    <w:multiLevelType w:val="multilevel"/>
    <w:tmpl w:val="2FFF7C31"/>
    <w:lvl w:ilvl="0" w:tentative="0">
      <w:start w:val="1"/>
      <w:numFmt w:val="decimal"/>
      <w:lvlText w:val="%1、"/>
      <w:lvlJc w:val="left"/>
      <w:pPr>
        <w:tabs>
          <w:tab w:val="left" w:pos="227"/>
        </w:tabs>
        <w:ind w:left="113" w:hanging="113"/>
      </w:pPr>
      <w:rPr>
        <w:rFonts w:hint="default"/>
        <w:b w:val="0"/>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95E707B"/>
    <w:multiLevelType w:val="multilevel"/>
    <w:tmpl w:val="495E707B"/>
    <w:lvl w:ilvl="0" w:tentative="0">
      <w:start w:val="6"/>
      <w:numFmt w:val="decimal"/>
      <w:lvlText w:val="%1、"/>
      <w:lvlJc w:val="left"/>
      <w:pPr>
        <w:ind w:left="508" w:hanging="390"/>
      </w:pPr>
      <w:rPr>
        <w:rFonts w:hint="default"/>
        <w:b/>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9">
    <w:nsid w:val="5F7850D7"/>
    <w:multiLevelType w:val="multilevel"/>
    <w:tmpl w:val="5F7850D7"/>
    <w:lvl w:ilvl="0" w:tentative="0">
      <w:start w:val="2"/>
      <w:numFmt w:val="decimal"/>
      <w:lvlText w:val="%1、"/>
      <w:lvlJc w:val="left"/>
      <w:pPr>
        <w:ind w:left="833" w:hanging="720"/>
      </w:pPr>
      <w:rPr>
        <w:rFonts w:hint="default"/>
      </w:rPr>
    </w:lvl>
    <w:lvl w:ilvl="1" w:tentative="0">
      <w:start w:val="1"/>
      <w:numFmt w:val="lowerLetter"/>
      <w:lvlText w:val="%2)"/>
      <w:lvlJc w:val="left"/>
      <w:pPr>
        <w:ind w:left="953" w:hanging="420"/>
      </w:pPr>
    </w:lvl>
    <w:lvl w:ilvl="2" w:tentative="0">
      <w:start w:val="1"/>
      <w:numFmt w:val="lowerRoman"/>
      <w:lvlText w:val="%3."/>
      <w:lvlJc w:val="right"/>
      <w:pPr>
        <w:ind w:left="1373" w:hanging="420"/>
      </w:pPr>
    </w:lvl>
    <w:lvl w:ilvl="3" w:tentative="0">
      <w:start w:val="1"/>
      <w:numFmt w:val="decimal"/>
      <w:lvlText w:val="%4."/>
      <w:lvlJc w:val="left"/>
      <w:pPr>
        <w:ind w:left="1793" w:hanging="420"/>
      </w:pPr>
    </w:lvl>
    <w:lvl w:ilvl="4" w:tentative="0">
      <w:start w:val="1"/>
      <w:numFmt w:val="lowerLetter"/>
      <w:lvlText w:val="%5)"/>
      <w:lvlJc w:val="left"/>
      <w:pPr>
        <w:ind w:left="2213" w:hanging="420"/>
      </w:pPr>
    </w:lvl>
    <w:lvl w:ilvl="5" w:tentative="0">
      <w:start w:val="1"/>
      <w:numFmt w:val="lowerRoman"/>
      <w:lvlText w:val="%6."/>
      <w:lvlJc w:val="right"/>
      <w:pPr>
        <w:ind w:left="2633" w:hanging="420"/>
      </w:pPr>
    </w:lvl>
    <w:lvl w:ilvl="6" w:tentative="0">
      <w:start w:val="1"/>
      <w:numFmt w:val="decimal"/>
      <w:lvlText w:val="%7."/>
      <w:lvlJc w:val="left"/>
      <w:pPr>
        <w:ind w:left="3053" w:hanging="420"/>
      </w:pPr>
    </w:lvl>
    <w:lvl w:ilvl="7" w:tentative="0">
      <w:start w:val="1"/>
      <w:numFmt w:val="lowerLetter"/>
      <w:lvlText w:val="%8)"/>
      <w:lvlJc w:val="left"/>
      <w:pPr>
        <w:ind w:left="3473" w:hanging="420"/>
      </w:pPr>
    </w:lvl>
    <w:lvl w:ilvl="8" w:tentative="0">
      <w:start w:val="1"/>
      <w:numFmt w:val="lowerRoman"/>
      <w:lvlText w:val="%9."/>
      <w:lvlJc w:val="right"/>
      <w:pPr>
        <w:ind w:left="3893" w:hanging="420"/>
      </w:pPr>
    </w:lvl>
  </w:abstractNum>
  <w:abstractNum w:abstractNumId="10">
    <w:nsid w:val="672C3EF5"/>
    <w:multiLevelType w:val="multilevel"/>
    <w:tmpl w:val="672C3EF5"/>
    <w:lvl w:ilvl="0" w:tentative="0">
      <w:start w:val="1"/>
      <w:numFmt w:val="decimal"/>
      <w:lvlText w:val="%1)"/>
      <w:lvlJc w:val="left"/>
      <w:pPr>
        <w:tabs>
          <w:tab w:val="left" w:pos="1680"/>
        </w:tabs>
        <w:ind w:left="1680" w:hanging="420"/>
      </w:pPr>
    </w:lvl>
    <w:lvl w:ilvl="1" w:tentative="0">
      <w:start w:val="1"/>
      <w:numFmt w:val="lowerLetter"/>
      <w:lvlText w:val="%2)"/>
      <w:lvlJc w:val="left"/>
      <w:pPr>
        <w:tabs>
          <w:tab w:val="left" w:pos="2100"/>
        </w:tabs>
        <w:ind w:left="2100" w:hanging="420"/>
      </w:p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11">
    <w:nsid w:val="77C7566F"/>
    <w:multiLevelType w:val="multilevel"/>
    <w:tmpl w:val="77C7566F"/>
    <w:lvl w:ilvl="0" w:tentative="0">
      <w:start w:val="1"/>
      <w:numFmt w:val="decimal"/>
      <w:lvlText w:val="%1)"/>
      <w:lvlJc w:val="left"/>
      <w:pPr>
        <w:tabs>
          <w:tab w:val="left" w:pos="1050"/>
        </w:tabs>
        <w:ind w:left="1050" w:hanging="420"/>
      </w:p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2">
    <w:nsid w:val="78A17998"/>
    <w:multiLevelType w:val="multilevel"/>
    <w:tmpl w:val="78A17998"/>
    <w:lvl w:ilvl="0" w:tentative="0">
      <w:start w:val="1"/>
      <w:numFmt w:val="decimal"/>
      <w:lvlText w:val="%1)"/>
      <w:lvlJc w:val="left"/>
      <w:pPr>
        <w:tabs>
          <w:tab w:val="left" w:pos="1680"/>
        </w:tabs>
        <w:ind w:left="1680" w:hanging="420"/>
      </w:pPr>
      <w:rPr>
        <w:b w:val="0"/>
      </w:rPr>
    </w:lvl>
    <w:lvl w:ilvl="1" w:tentative="0">
      <w:start w:val="1"/>
      <w:numFmt w:val="lowerLetter"/>
      <w:lvlText w:val="%2)"/>
      <w:lvlJc w:val="left"/>
      <w:pPr>
        <w:tabs>
          <w:tab w:val="left" w:pos="2100"/>
        </w:tabs>
        <w:ind w:left="2100" w:hanging="420"/>
      </w:p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13">
    <w:nsid w:val="7F215AFE"/>
    <w:multiLevelType w:val="multilevel"/>
    <w:tmpl w:val="7F215AFE"/>
    <w:lvl w:ilvl="0" w:tentative="0">
      <w:start w:val="3"/>
      <w:numFmt w:val="decimal"/>
      <w:lvlText w:val="%1、"/>
      <w:lvlJc w:val="left"/>
      <w:pPr>
        <w:ind w:left="503" w:hanging="390"/>
      </w:pPr>
      <w:rPr>
        <w:rFonts w:hint="default"/>
        <w:b/>
      </w:rPr>
    </w:lvl>
    <w:lvl w:ilvl="1" w:tentative="0">
      <w:start w:val="1"/>
      <w:numFmt w:val="lowerLetter"/>
      <w:lvlText w:val="%2)"/>
      <w:lvlJc w:val="left"/>
      <w:pPr>
        <w:ind w:left="953" w:hanging="420"/>
      </w:pPr>
    </w:lvl>
    <w:lvl w:ilvl="2" w:tentative="0">
      <w:start w:val="1"/>
      <w:numFmt w:val="lowerRoman"/>
      <w:lvlText w:val="%3."/>
      <w:lvlJc w:val="right"/>
      <w:pPr>
        <w:ind w:left="1373" w:hanging="420"/>
      </w:pPr>
    </w:lvl>
    <w:lvl w:ilvl="3" w:tentative="0">
      <w:start w:val="1"/>
      <w:numFmt w:val="decimal"/>
      <w:lvlText w:val="%4."/>
      <w:lvlJc w:val="left"/>
      <w:pPr>
        <w:ind w:left="1793" w:hanging="420"/>
      </w:pPr>
    </w:lvl>
    <w:lvl w:ilvl="4" w:tentative="0">
      <w:start w:val="1"/>
      <w:numFmt w:val="lowerLetter"/>
      <w:lvlText w:val="%5)"/>
      <w:lvlJc w:val="left"/>
      <w:pPr>
        <w:ind w:left="2213" w:hanging="420"/>
      </w:pPr>
    </w:lvl>
    <w:lvl w:ilvl="5" w:tentative="0">
      <w:start w:val="1"/>
      <w:numFmt w:val="lowerRoman"/>
      <w:lvlText w:val="%6."/>
      <w:lvlJc w:val="right"/>
      <w:pPr>
        <w:ind w:left="2633" w:hanging="420"/>
      </w:pPr>
    </w:lvl>
    <w:lvl w:ilvl="6" w:tentative="0">
      <w:start w:val="1"/>
      <w:numFmt w:val="decimal"/>
      <w:lvlText w:val="%7."/>
      <w:lvlJc w:val="left"/>
      <w:pPr>
        <w:ind w:left="3053" w:hanging="420"/>
      </w:pPr>
    </w:lvl>
    <w:lvl w:ilvl="7" w:tentative="0">
      <w:start w:val="1"/>
      <w:numFmt w:val="lowerLetter"/>
      <w:lvlText w:val="%8)"/>
      <w:lvlJc w:val="left"/>
      <w:pPr>
        <w:ind w:left="3473" w:hanging="420"/>
      </w:pPr>
    </w:lvl>
    <w:lvl w:ilvl="8" w:tentative="0">
      <w:start w:val="1"/>
      <w:numFmt w:val="lowerRoman"/>
      <w:lvlText w:val="%9."/>
      <w:lvlJc w:val="right"/>
      <w:pPr>
        <w:ind w:left="3893" w:hanging="420"/>
      </w:pPr>
    </w:lvl>
  </w:abstractNum>
  <w:num w:numId="1">
    <w:abstractNumId w:val="2"/>
  </w:num>
  <w:num w:numId="2">
    <w:abstractNumId w:val="13"/>
  </w:num>
  <w:num w:numId="3">
    <w:abstractNumId w:val="8"/>
  </w:num>
  <w:num w:numId="4">
    <w:abstractNumId w:val="5"/>
  </w:num>
  <w:num w:numId="5">
    <w:abstractNumId w:val="4"/>
  </w:num>
  <w:num w:numId="6">
    <w:abstractNumId w:val="12"/>
  </w:num>
  <w:num w:numId="7">
    <w:abstractNumId w:val="9"/>
  </w:num>
  <w:num w:numId="8">
    <w:abstractNumId w:val="10"/>
  </w:num>
  <w:num w:numId="9">
    <w:abstractNumId w:val="6"/>
  </w:num>
  <w:num w:numId="10">
    <w:abstractNumId w:val="11"/>
  </w:num>
  <w:num w:numId="11">
    <w:abstractNumId w:val="1"/>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0A"/>
    <w:rsid w:val="000012F7"/>
    <w:rsid w:val="00011026"/>
    <w:rsid w:val="00017893"/>
    <w:rsid w:val="000239CE"/>
    <w:rsid w:val="00050848"/>
    <w:rsid w:val="00090DC3"/>
    <w:rsid w:val="00094755"/>
    <w:rsid w:val="000B31A1"/>
    <w:rsid w:val="001008AE"/>
    <w:rsid w:val="001317A3"/>
    <w:rsid w:val="00131BA8"/>
    <w:rsid w:val="0013368B"/>
    <w:rsid w:val="001436DD"/>
    <w:rsid w:val="00164795"/>
    <w:rsid w:val="00165BB9"/>
    <w:rsid w:val="00177122"/>
    <w:rsid w:val="001858BA"/>
    <w:rsid w:val="001A0E38"/>
    <w:rsid w:val="001A6812"/>
    <w:rsid w:val="001C022D"/>
    <w:rsid w:val="001D7C84"/>
    <w:rsid w:val="002053E3"/>
    <w:rsid w:val="00213624"/>
    <w:rsid w:val="002218FC"/>
    <w:rsid w:val="00223A65"/>
    <w:rsid w:val="002348F2"/>
    <w:rsid w:val="002C13C4"/>
    <w:rsid w:val="002E0596"/>
    <w:rsid w:val="002F2175"/>
    <w:rsid w:val="00326AC2"/>
    <w:rsid w:val="003536BB"/>
    <w:rsid w:val="00367C83"/>
    <w:rsid w:val="0038584C"/>
    <w:rsid w:val="003A665D"/>
    <w:rsid w:val="003B530F"/>
    <w:rsid w:val="003B725B"/>
    <w:rsid w:val="003C3096"/>
    <w:rsid w:val="003D0515"/>
    <w:rsid w:val="00404C43"/>
    <w:rsid w:val="00411DC1"/>
    <w:rsid w:val="00431BB3"/>
    <w:rsid w:val="0043213B"/>
    <w:rsid w:val="00440677"/>
    <w:rsid w:val="004452FC"/>
    <w:rsid w:val="00454CB5"/>
    <w:rsid w:val="004621D0"/>
    <w:rsid w:val="00477F64"/>
    <w:rsid w:val="004A01EE"/>
    <w:rsid w:val="004B788F"/>
    <w:rsid w:val="004C4344"/>
    <w:rsid w:val="004D1574"/>
    <w:rsid w:val="004D4128"/>
    <w:rsid w:val="004D4947"/>
    <w:rsid w:val="004D60A4"/>
    <w:rsid w:val="004F4C77"/>
    <w:rsid w:val="00534148"/>
    <w:rsid w:val="0054114B"/>
    <w:rsid w:val="00546CBB"/>
    <w:rsid w:val="00565009"/>
    <w:rsid w:val="0056551C"/>
    <w:rsid w:val="00584CF3"/>
    <w:rsid w:val="005C4AA9"/>
    <w:rsid w:val="00616AA6"/>
    <w:rsid w:val="00624B8D"/>
    <w:rsid w:val="00630C1B"/>
    <w:rsid w:val="00640259"/>
    <w:rsid w:val="00641753"/>
    <w:rsid w:val="006874A7"/>
    <w:rsid w:val="006A14C4"/>
    <w:rsid w:val="006A2D0B"/>
    <w:rsid w:val="006B2D56"/>
    <w:rsid w:val="006C11F4"/>
    <w:rsid w:val="006C45F6"/>
    <w:rsid w:val="006C7993"/>
    <w:rsid w:val="006D6F02"/>
    <w:rsid w:val="006F68B9"/>
    <w:rsid w:val="007110D0"/>
    <w:rsid w:val="00722DB8"/>
    <w:rsid w:val="00724AD6"/>
    <w:rsid w:val="007253D2"/>
    <w:rsid w:val="00761CC7"/>
    <w:rsid w:val="00762568"/>
    <w:rsid w:val="00763C2C"/>
    <w:rsid w:val="00766B0B"/>
    <w:rsid w:val="0077627B"/>
    <w:rsid w:val="007B112F"/>
    <w:rsid w:val="007E3946"/>
    <w:rsid w:val="00807C08"/>
    <w:rsid w:val="00810692"/>
    <w:rsid w:val="00856A73"/>
    <w:rsid w:val="00856A94"/>
    <w:rsid w:val="00857242"/>
    <w:rsid w:val="00872F56"/>
    <w:rsid w:val="00885A53"/>
    <w:rsid w:val="008928B1"/>
    <w:rsid w:val="008C3EAC"/>
    <w:rsid w:val="008F710A"/>
    <w:rsid w:val="00952492"/>
    <w:rsid w:val="009872D2"/>
    <w:rsid w:val="009D3C44"/>
    <w:rsid w:val="009F7048"/>
    <w:rsid w:val="00A23537"/>
    <w:rsid w:val="00A360CC"/>
    <w:rsid w:val="00A4265F"/>
    <w:rsid w:val="00A52CE5"/>
    <w:rsid w:val="00A822DA"/>
    <w:rsid w:val="00AB10C3"/>
    <w:rsid w:val="00AD477B"/>
    <w:rsid w:val="00AE7847"/>
    <w:rsid w:val="00AF516C"/>
    <w:rsid w:val="00B0569B"/>
    <w:rsid w:val="00B22EB1"/>
    <w:rsid w:val="00B67E24"/>
    <w:rsid w:val="00B93564"/>
    <w:rsid w:val="00B975F9"/>
    <w:rsid w:val="00BC056E"/>
    <w:rsid w:val="00BE2C82"/>
    <w:rsid w:val="00C22EAE"/>
    <w:rsid w:val="00C4732E"/>
    <w:rsid w:val="00C62E9A"/>
    <w:rsid w:val="00CA3082"/>
    <w:rsid w:val="00CB41FE"/>
    <w:rsid w:val="00CB5C80"/>
    <w:rsid w:val="00CC30C2"/>
    <w:rsid w:val="00CD56C3"/>
    <w:rsid w:val="00CE004F"/>
    <w:rsid w:val="00CE41F7"/>
    <w:rsid w:val="00CF072D"/>
    <w:rsid w:val="00CF15E9"/>
    <w:rsid w:val="00CF6855"/>
    <w:rsid w:val="00D16FEA"/>
    <w:rsid w:val="00D2310A"/>
    <w:rsid w:val="00D40066"/>
    <w:rsid w:val="00D568AC"/>
    <w:rsid w:val="00D7716E"/>
    <w:rsid w:val="00D844E7"/>
    <w:rsid w:val="00D87E49"/>
    <w:rsid w:val="00DA34F7"/>
    <w:rsid w:val="00DA43A3"/>
    <w:rsid w:val="00DC2EF7"/>
    <w:rsid w:val="00DE34E6"/>
    <w:rsid w:val="00DF7B45"/>
    <w:rsid w:val="00E24871"/>
    <w:rsid w:val="00E54226"/>
    <w:rsid w:val="00E601C4"/>
    <w:rsid w:val="00E72104"/>
    <w:rsid w:val="00EC6BB3"/>
    <w:rsid w:val="00ED11D7"/>
    <w:rsid w:val="00ED1BEF"/>
    <w:rsid w:val="00EE4A25"/>
    <w:rsid w:val="00EF58E0"/>
    <w:rsid w:val="00F03C0F"/>
    <w:rsid w:val="00F269DB"/>
    <w:rsid w:val="00F56B8A"/>
    <w:rsid w:val="00F76E13"/>
    <w:rsid w:val="00FC1232"/>
    <w:rsid w:val="00FC4B11"/>
    <w:rsid w:val="00FD6523"/>
    <w:rsid w:val="07057AC1"/>
    <w:rsid w:val="0B6B20FF"/>
    <w:rsid w:val="0C2C430F"/>
    <w:rsid w:val="11DF3735"/>
    <w:rsid w:val="12B80D8A"/>
    <w:rsid w:val="152F30AB"/>
    <w:rsid w:val="183A08C8"/>
    <w:rsid w:val="18F9011F"/>
    <w:rsid w:val="1E932E2F"/>
    <w:rsid w:val="1F7B5EFF"/>
    <w:rsid w:val="28CD5EF5"/>
    <w:rsid w:val="2F9A216F"/>
    <w:rsid w:val="36EF1063"/>
    <w:rsid w:val="3CEB5B07"/>
    <w:rsid w:val="3F21011C"/>
    <w:rsid w:val="424428D7"/>
    <w:rsid w:val="4D62126F"/>
    <w:rsid w:val="5A955085"/>
    <w:rsid w:val="621F6F11"/>
    <w:rsid w:val="655E182A"/>
    <w:rsid w:val="66A70A36"/>
    <w:rsid w:val="7056495E"/>
    <w:rsid w:val="71567A8A"/>
    <w:rsid w:val="72E8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uiPriority w:val="99"/>
    <w:rPr>
      <w:rFonts w:ascii="Times New Roman" w:hAnsi="Times New Roman" w:eastAsia="宋体" w:cs="Times New Roman"/>
      <w:sz w:val="18"/>
      <w:szCs w:val="18"/>
    </w:rPr>
  </w:style>
  <w:style w:type="character" w:customStyle="1" w:styleId="9">
    <w:name w:val="页眉 Char"/>
    <w:basedOn w:val="6"/>
    <w:link w:val="4"/>
    <w:uiPriority w:val="0"/>
    <w:rPr>
      <w:rFonts w:ascii="Times New Roman" w:hAnsi="Times New Roman" w:eastAsia="宋体" w:cs="Times New Roman"/>
      <w:sz w:val="18"/>
      <w:szCs w:val="18"/>
    </w:rPr>
  </w:style>
  <w:style w:type="paragraph" w:customStyle="1" w:styleId="10">
    <w:name w:val="列出段落1"/>
    <w:basedOn w:val="1"/>
    <w:qFormat/>
    <w:uiPriority w:val="34"/>
    <w:pPr>
      <w:ind w:firstLine="420" w:firstLineChars="200"/>
    </w:pPr>
  </w:style>
  <w:style w:type="paragraph" w:styleId="11">
    <w:name w:val="List Paragraph"/>
    <w:basedOn w:val="1"/>
    <w:qFormat/>
    <w:uiPriority w:val="99"/>
    <w:pPr>
      <w:ind w:firstLine="420" w:firstLineChars="200"/>
    </w:pPr>
  </w:style>
  <w:style w:type="character" w:customStyle="1" w:styleId="12">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7</Pages>
  <Words>518</Words>
  <Characters>2953</Characters>
  <Lines>24</Lines>
  <Paragraphs>6</Paragraphs>
  <TotalTime>27</TotalTime>
  <ScaleCrop>false</ScaleCrop>
  <LinksUpToDate>false</LinksUpToDate>
  <CharactersWithSpaces>3465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2020-07-20T02:30:00Z</dcterms:created>
  <dc:creator>FtpDown</dc:creator>
  <cp:lastModifiedBy>空灵子</cp:lastModifiedBy>
  <cp:lastPrinted>2020-08-11T08:24:31Z</cp:lastPrinted>
  <dcterms:modified xsi:type="dcterms:W3CDTF">2020-08-11T08:51:37Z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