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四川省“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  <w:t>制惠贷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”合作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  <w:t>担保机构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申请书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申报单位：（加盖公章）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申报时间：     年     月     日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02"/>
        <w:gridCol w:w="73"/>
        <w:gridCol w:w="1274"/>
        <w:gridCol w:w="1218"/>
        <w:gridCol w:w="1620"/>
        <w:gridCol w:w="56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全称</w:t>
            </w:r>
            <w:bookmarkEnd w:id="0"/>
          </w:p>
        </w:tc>
        <w:tc>
          <w:tcPr>
            <w:tcW w:w="7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融资担保业务经营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许可证编号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注册所在地</w:t>
            </w:r>
          </w:p>
        </w:tc>
        <w:tc>
          <w:tcPr>
            <w:tcW w:w="37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联系人邮箱</w:t>
            </w:r>
          </w:p>
        </w:tc>
        <w:tc>
          <w:tcPr>
            <w:tcW w:w="78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600" w:firstLineChars="2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是否在四川省境内注册或主体办公机构位于四川省境内，且在成都市设立有机构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制惠贷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”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拟放大倍数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注册资本金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万元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不良率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是否与国担基金合作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是否与省级/市级再担保机构合作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三级资产比例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t>Ⅰ级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  <w:lang w:val="en-US" w:eastAsia="zh-CN"/>
              </w:rPr>
              <w:t>资产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 % 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t>Ⅱ级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  <w:lang w:val="en-US" w:eastAsia="zh-CN"/>
              </w:rPr>
              <w:t>资产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 % 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t>Ⅲ级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shd w:val="clear" w:color="auto" w:fill="FFFFFF"/>
                <w:lang w:val="en-US" w:eastAsia="zh-CN"/>
              </w:rPr>
              <w:t>资产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注：采用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各担保机构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四川省内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的上一年度决算、年度财务会计报告或行业主管部门年末统计数据填报。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5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担保额度以及成本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（重点描述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2021年末对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我省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中小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担保贷款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规模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、担保贷款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户数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平均担保费率等情况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三、服务水平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（1500字以内）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业务覆盖全省市（州）情况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（罗列业务开展地的担保余额及户数情况）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客户储备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描述已与如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制造业“贡嘎培优”企业、制造业单项冠军、国家级专精特新“小巨人”企业、省级“专精特新”中小企业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等展开合作的情况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参与政银合作项目的经验（如是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否参与“天府科创贷”、“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服保贷”、“天府文产贷”、“壮大贷”、“科创贷”）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时效性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公司内部的审批权限和审批时间、放款时效、方便借款人使用和结清贷款等，如公司内部的审批权限和审批时间）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对“制惠贷”的适应性（如公司业务政策支持情况，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制定适用于“制惠贷”的业务管理办法或机制流程、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开辟绿色审批通道等）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可接受的抵质押物范围（如除传统实物资产如土地房产外，是否接受股权、应收账款、知识产权等抵质押方式，且接受信用反担保方式。）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对“制惠贷”的宣传方式（如可以利用短视频、微信公众号、展板、展架、等对“制惠贷”进行宣传）</w:t>
            </w: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四、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管理体系及风险防控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针对“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制惠贷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建立考核机制，对经办部门和经办人员下达业务目标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近三年不良率、风险控制机制、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创新举措及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后管理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追偿机制和退出机制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并能按文件及协议要求进行催收等相关义务。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五、重大事件说明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（说明近3年内在经营活动中，有无违法、重大违规记录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、重大违约和重大应代偿未代偿情况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等。100字以内）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六、申报单位意见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TJjYTA4YjE3YzNiMmFlZTM1OWMxZTkyY2Q3ZTYifQ=="/>
  </w:docVars>
  <w:rsids>
    <w:rsidRoot w:val="00000000"/>
    <w:rsid w:val="14947C2D"/>
    <w:rsid w:val="498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styleId="4">
    <w:name w:val="Body Text First Indent 2"/>
    <w:basedOn w:val="3"/>
    <w:unhideWhenUsed/>
    <w:qFormat/>
    <w:uiPriority w:val="99"/>
    <w:pPr>
      <w:spacing w:before="100" w:beforeAutospacing="1" w:after="120"/>
      <w:ind w:firstLine="420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900</Words>
  <Characters>929</Characters>
  <Lines>0</Lines>
  <Paragraphs>0</Paragraphs>
  <TotalTime>3</TotalTime>
  <ScaleCrop>false</ScaleCrop>
  <LinksUpToDate>false</LinksUpToDate>
  <CharactersWithSpaces>963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23577</dc:creator>
  <cp:lastModifiedBy>葭葭</cp:lastModifiedBy>
  <dcterms:modified xsi:type="dcterms:W3CDTF">2022-05-31T08:56:55Z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0A8B56DCFA514626A367AF0CADB84B85</vt:lpwstr>
  </property>
</Properties>
</file>